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F486D">
      <w:pPr>
        <w:spacing w:line="360" w:lineRule="auto"/>
        <w:rPr>
          <w:rFonts w:hint="eastAsia" w:ascii="宋体" w:hAnsi="宋体"/>
          <w:b/>
          <w:color w:val="000000" w:themeColor="text1"/>
          <w:sz w:val="52"/>
          <w:szCs w:val="52"/>
          <w:highlight w:val="none"/>
          <w14:textFill>
            <w14:solidFill>
              <w14:schemeClr w14:val="tx1"/>
            </w14:solidFill>
          </w14:textFill>
        </w:rPr>
      </w:pPr>
    </w:p>
    <w:p w14:paraId="336828D5">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lang w:val="en-US" w:eastAsia="zh-CN"/>
          <w14:textFill>
            <w14:solidFill>
              <w14:schemeClr w14:val="tx1"/>
            </w14:solidFill>
          </w14:textFill>
        </w:rPr>
        <w:t xml:space="preserve">  </w:t>
      </w:r>
      <w:r>
        <w:rPr>
          <w:rFonts w:hint="eastAsia" w:ascii="宋体" w:hAnsi="宋体"/>
          <w:b/>
          <w:color w:val="000000" w:themeColor="text1"/>
          <w:sz w:val="52"/>
          <w:szCs w:val="52"/>
          <w:highlight w:val="none"/>
          <w14:textFill>
            <w14:solidFill>
              <w14:schemeClr w14:val="tx1"/>
            </w14:solidFill>
          </w14:textFill>
        </w:rPr>
        <w:t xml:space="preserve">  </w:t>
      </w:r>
    </w:p>
    <w:p w14:paraId="313D1424">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14:paraId="7FA8BD7E">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14:paraId="3CAB7845">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14:paraId="4D4C7645">
      <w:pPr>
        <w:spacing w:line="360" w:lineRule="auto"/>
        <w:ind w:firstLine="1966" w:firstLineChars="445"/>
        <w:rPr>
          <w:rFonts w:hint="eastAsia" w:ascii="宋体" w:hAnsi="宋体"/>
          <w:b/>
          <w:color w:val="000000" w:themeColor="text1"/>
          <w:sz w:val="44"/>
          <w:highlight w:val="none"/>
          <w14:textFill>
            <w14:solidFill>
              <w14:schemeClr w14:val="tx1"/>
            </w14:solidFill>
          </w14:textFill>
        </w:rPr>
      </w:pPr>
    </w:p>
    <w:p w14:paraId="65FF39F3">
      <w:pPr>
        <w:spacing w:line="360" w:lineRule="auto"/>
        <w:rPr>
          <w:rFonts w:hint="eastAsia" w:ascii="宋体" w:hAnsi="宋体" w:eastAsia="宋体"/>
          <w:b/>
          <w:color w:val="000000" w:themeColor="text1"/>
          <w:sz w:val="44"/>
          <w:szCs w:val="44"/>
          <w:highlight w:val="none"/>
          <w:lang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XM2025-TZ0242C1</w:t>
      </w:r>
    </w:p>
    <w:p w14:paraId="6E7CB521">
      <w:pPr>
        <w:spacing w:line="360" w:lineRule="auto"/>
        <w:ind w:left="3534" w:hanging="3534" w:hangingChars="800"/>
        <w:rPr>
          <w:rFonts w:hint="eastAsia" w:ascii="宋体" w:hAnsi="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color w:val="000000" w:themeColor="text1"/>
          <w:sz w:val="36"/>
          <w:szCs w:val="36"/>
          <w:highlight w:val="none"/>
          <w:lang w:eastAsia="zh-CN"/>
          <w14:textFill>
            <w14:solidFill>
              <w14:schemeClr w14:val="tx1"/>
            </w14:solidFill>
          </w14:textFill>
        </w:rPr>
        <w:t>2025年度“禾山街道、殿前街道</w:t>
      </w:r>
    </w:p>
    <w:p w14:paraId="6162D7A5">
      <w:pPr>
        <w:spacing w:line="360" w:lineRule="auto"/>
        <w:ind w:left="2879" w:leftChars="1371" w:firstLine="0" w:firstLineChars="0"/>
        <w:rPr>
          <w:rFonts w:hint="eastAsia" w:ascii="宋体" w:hAnsi="宋体" w:eastAsia="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空气自动监测站点第三方运维”</w:t>
      </w:r>
    </w:p>
    <w:p w14:paraId="00F8D860">
      <w:pPr>
        <w:spacing w:line="360" w:lineRule="auto"/>
        <w:jc w:val="center"/>
        <w:rPr>
          <w:rFonts w:hint="eastAsia" w:ascii="宋体" w:hAnsi="宋体"/>
          <w:b/>
          <w:color w:val="000000" w:themeColor="text1"/>
          <w:sz w:val="44"/>
          <w:highlight w:val="none"/>
          <w14:textFill>
            <w14:solidFill>
              <w14:schemeClr w14:val="tx1"/>
            </w14:solidFill>
          </w14:textFill>
        </w:rPr>
      </w:pPr>
    </w:p>
    <w:p w14:paraId="3FF52932">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456EE9D1">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2C3DF47D">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58D04781">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15A0E4B1">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41341B9B">
      <w:pPr>
        <w:spacing w:line="360" w:lineRule="auto"/>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w:t>
      </w:r>
      <w:r>
        <w:rPr>
          <w:rFonts w:hint="eastAsia" w:ascii="宋体" w:hAnsi="宋体"/>
          <w:b/>
          <w:color w:val="000000" w:themeColor="text1"/>
          <w:sz w:val="32"/>
          <w:szCs w:val="32"/>
          <w:highlight w:val="none"/>
          <w:lang w:eastAsia="zh-CN"/>
          <w14:textFill>
            <w14:solidFill>
              <w14:schemeClr w14:val="tx1"/>
            </w14:solidFill>
          </w14:textFill>
        </w:rPr>
        <w:t>厦门市湖里生态环境局</w:t>
      </w:r>
    </w:p>
    <w:p w14:paraId="63271317">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14:paraId="25803A4E">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76F4162C">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05F0FB14">
      <w:pPr>
        <w:spacing w:line="36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2025</w:t>
      </w:r>
      <w:r>
        <w:rPr>
          <w:rFonts w:hint="eastAsia" w:ascii="宋体" w:hAnsi="宋体"/>
          <w:b/>
          <w:color w:val="000000" w:themeColor="text1"/>
          <w:sz w:val="36"/>
          <w:szCs w:val="36"/>
          <w:highlight w:val="none"/>
          <w14:textFill>
            <w14:solidFill>
              <w14:schemeClr w14:val="tx1"/>
            </w14:solidFill>
          </w14:textFill>
        </w:rPr>
        <w:t>年</w:t>
      </w:r>
    </w:p>
    <w:p w14:paraId="11697690">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1BCEA7DE">
      <w:pPr>
        <w:pStyle w:val="5"/>
        <w:spacing w:line="360" w:lineRule="auto"/>
        <w:ind w:firstLine="0"/>
        <w:jc w:val="center"/>
        <w:rPr>
          <w:rFonts w:hint="eastAsia" w:cs="Arial"/>
          <w:b/>
          <w:bCs/>
          <w:color w:val="000000" w:themeColor="text1"/>
          <w:sz w:val="32"/>
          <w:highlight w:val="none"/>
          <w:lang w:eastAsia="zh-CN"/>
          <w14:textFill>
            <w14:solidFill>
              <w14:schemeClr w14:val="tx1"/>
            </w14:solidFill>
          </w14:textFill>
        </w:rPr>
      </w:pPr>
    </w:p>
    <w:p w14:paraId="6A17A281">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关于信用贷款的提示</w:t>
      </w:r>
    </w:p>
    <w:p w14:paraId="06FCAB5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（201608版）</w:t>
      </w:r>
    </w:p>
    <w:p w14:paraId="39A0DF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0863EA01">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有关金融机构联系方式： </w:t>
      </w:r>
    </w:p>
    <w:p w14:paraId="3BDD80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（一）中国建设银行厦门分行：</w:t>
      </w:r>
    </w:p>
    <w:p w14:paraId="136EA759">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联系人：魏慧媛   2158595 </w:t>
      </w:r>
    </w:p>
    <w:p w14:paraId="25F570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（二）中国光大银行厦门分行：</w:t>
      </w:r>
    </w:p>
    <w:p w14:paraId="75625F0B">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  虹   2283776、13806013400；朱姗姗   2991131、18050082825</w:t>
      </w:r>
    </w:p>
    <w:p w14:paraId="23B9EA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（三）兴业银行厦门分行</w:t>
      </w:r>
    </w:p>
    <w:p w14:paraId="16380A07">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6518DB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（四）厦门市担保有限公司：</w:t>
      </w:r>
    </w:p>
    <w:p w14:paraId="25612298">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联系人：陈文辉   5125116；吴龙辉   5120019</w:t>
      </w:r>
    </w:p>
    <w:p w14:paraId="5E53BC6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（五）厦门银行股份有限公司 </w:t>
      </w:r>
    </w:p>
    <w:p w14:paraId="733B910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联系人：张冬梅 13395990009 ；陈韵 13656021986</w:t>
      </w:r>
    </w:p>
    <w:p w14:paraId="293FFD6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6F3823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44B296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D6E6B20">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71B610C9">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3AD32033">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05E1F929">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0D79FEBF">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11884B1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目   录</w:t>
      </w:r>
    </w:p>
    <w:p w14:paraId="15AF5A1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D845B82">
      <w:pPr>
        <w:pStyle w:val="18"/>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 xml:space="preserve">第一章 磋商邀请 </w:t>
      </w:r>
      <w:r>
        <w:rPr>
          <w:rFonts w:hint="eastAsia" w:ascii="宋体" w:hAnsi="宋体" w:eastAsia="宋体" w:cs="宋体"/>
          <w:color w:val="000000" w:themeColor="text1"/>
          <w:sz w:val="24"/>
          <w:szCs w:val="24"/>
          <w:highlight w:val="none"/>
          <w14:textFill>
            <w14:solidFill>
              <w14:schemeClr w14:val="tx1"/>
            </w14:solidFill>
          </w14:textFill>
        </w:rPr>
        <w:t>................................. ........</w:t>
      </w:r>
    </w:p>
    <w:p w14:paraId="68B309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第二章 </w:t>
      </w: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t xml:space="preserve"> ............. ................ .......</w:t>
      </w:r>
    </w:p>
    <w:p w14:paraId="4FE15FDD">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须知前附表1 ........................... ...</w:t>
      </w:r>
    </w:p>
    <w:p w14:paraId="5A7952A7">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须知前附表2 ...................... ...... .</w:t>
      </w:r>
    </w:p>
    <w:p w14:paraId="6F3CCA92">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须知前附表3 .................... ...... ...</w:t>
      </w:r>
    </w:p>
    <w:p w14:paraId="2F4A89AC">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须知前附表4..................... ...... ...</w:t>
      </w:r>
    </w:p>
    <w:p w14:paraId="3746D999">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 ....</w:t>
      </w:r>
    </w:p>
    <w:p w14:paraId="3F0BA232">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二、采购文件.....................................</w:t>
      </w:r>
    </w:p>
    <w:p w14:paraId="38C770E7">
      <w:pPr>
        <w:spacing w:line="360" w:lineRule="auto"/>
        <w:ind w:left="1050" w:left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的编写.......................... .......</w:t>
      </w:r>
    </w:p>
    <w:p w14:paraId="419B2E5C">
      <w:pPr>
        <w:spacing w:line="360" w:lineRule="auto"/>
        <w:ind w:left="1050" w:left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的提交.................................</w:t>
      </w:r>
    </w:p>
    <w:p w14:paraId="19B4F0A3">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的评估和比较...................... ..</w:t>
      </w:r>
    </w:p>
    <w:p w14:paraId="6C3F8774">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六、授予合同.....................................</w:t>
      </w:r>
    </w:p>
    <w:p w14:paraId="501E331D">
      <w:pPr>
        <w:pStyle w:val="18"/>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第三章 磋商内容及要求</w:t>
      </w:r>
      <w:r>
        <w:rPr>
          <w:rFonts w:hint="eastAsia" w:ascii="宋体" w:hAnsi="宋体" w:eastAsia="宋体" w:cs="宋体"/>
          <w:color w:val="000000" w:themeColor="text1"/>
          <w:sz w:val="24"/>
          <w:szCs w:val="24"/>
          <w:highlight w:val="none"/>
          <w14:textFill>
            <w14:solidFill>
              <w14:schemeClr w14:val="tx1"/>
            </w14:solidFill>
          </w14:textFill>
        </w:rPr>
        <w:t>......................................</w:t>
      </w:r>
    </w:p>
    <w:p w14:paraId="699737DA">
      <w:pPr>
        <w:pStyle w:val="18"/>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第四章 政府采购合同</w:t>
      </w:r>
      <w:r>
        <w:rPr>
          <w:rFonts w:hint="eastAsia" w:ascii="宋体" w:hAnsi="宋体" w:eastAsia="宋体" w:cs="宋体"/>
          <w:color w:val="000000" w:themeColor="text1"/>
          <w:sz w:val="24"/>
          <w:szCs w:val="24"/>
          <w:highlight w:val="none"/>
          <w14:textFill>
            <w14:solidFill>
              <w14:schemeClr w14:val="tx1"/>
            </w14:solidFill>
          </w14:textFill>
        </w:rPr>
        <w:t>.......................................</w:t>
      </w:r>
    </w:p>
    <w:p w14:paraId="7FC489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 xml:space="preserve">第五章 </w:t>
      </w:r>
      <w:r>
        <w:rPr>
          <w:rFonts w:hint="default" w:ascii="宋体" w:hAnsi="宋体" w:cs="宋体"/>
          <w:b/>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b/>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14:textFill>
            <w14:solidFill>
              <w14:schemeClr w14:val="tx1"/>
            </w14:solidFill>
          </w14:textFill>
        </w:rPr>
        <w:t>.............................. ......</w:t>
      </w:r>
    </w:p>
    <w:p w14:paraId="4785883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16F26D0">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87CB3D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B423A8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E22B1B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58F2E2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C10DD7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CE9FB6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37D0E3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941C3E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116C23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C7B64C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7F74A1E">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第一章  </w:t>
      </w:r>
    </w:p>
    <w:p w14:paraId="734EC45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磋商邀请</w:t>
      </w:r>
    </w:p>
    <w:p w14:paraId="5BAFF74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7E9A93A">
      <w:pPr>
        <w:tabs>
          <w:tab w:val="left" w:pos="900"/>
        </w:tabs>
        <w:spacing w:line="360" w:lineRule="auto"/>
        <w:ind w:firstLine="480"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cs="宋体"/>
          <w:b/>
          <w:color w:val="000000" w:themeColor="text1"/>
          <w:sz w:val="24"/>
          <w:szCs w:val="24"/>
          <w:highlight w:val="none"/>
          <w:u w:val="single"/>
          <w:lang w:eastAsia="zh-CN"/>
          <w14:textFill>
            <w14:solidFill>
              <w14:schemeClr w14:val="tx1"/>
            </w14:solidFill>
          </w14:textFill>
        </w:rPr>
        <w:t>厦门市湖里生态环境局</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cs="宋体"/>
          <w:b/>
          <w:color w:val="000000" w:themeColor="text1"/>
          <w:sz w:val="24"/>
          <w:szCs w:val="24"/>
          <w:highlight w:val="none"/>
          <w:u w:val="single"/>
          <w:lang w:eastAsia="zh-CN"/>
          <w14:textFill>
            <w14:solidFill>
              <w14:schemeClr w14:val="tx1"/>
            </w14:solidFill>
          </w14:textFill>
        </w:rPr>
        <w:t>2025年度“禾山街道、殿前街道空气自动监测站点第三方运维”</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竞争性磋商方式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密封提交</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34EFFEC2">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w:t>
      </w:r>
      <w:r>
        <w:rPr>
          <w:rFonts w:hint="eastAsia" w:ascii="宋体" w:hAnsi="宋体" w:cs="宋体"/>
          <w:color w:val="000000" w:themeColor="text1"/>
          <w:sz w:val="24"/>
          <w:szCs w:val="24"/>
          <w:highlight w:val="none"/>
          <w:lang w:eastAsia="zh-CN"/>
          <w14:textFill>
            <w14:solidFill>
              <w14:schemeClr w14:val="tx1"/>
            </w14:solidFill>
          </w14:textFill>
        </w:rPr>
        <w:t>XM2025-TZ0242C1</w:t>
      </w:r>
      <w:r>
        <w:rPr>
          <w:rFonts w:hint="eastAsia" w:ascii="宋体" w:hAnsi="宋体" w:eastAsia="宋体" w:cs="宋体"/>
          <w:color w:val="000000" w:themeColor="text1"/>
          <w:sz w:val="24"/>
          <w:szCs w:val="24"/>
          <w:highlight w:val="none"/>
          <w14:textFill>
            <w14:solidFill>
              <w14:schemeClr w14:val="tx1"/>
            </w14:solidFill>
          </w14:textFill>
        </w:rPr>
        <w:t>。</w:t>
      </w:r>
    </w:p>
    <w:p w14:paraId="0DB8C3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2.采购服务名称、数量及主要技术规格：见后附采购服务一览表。</w:t>
      </w:r>
    </w:p>
    <w:p w14:paraId="3499BB90">
      <w:pPr>
        <w:spacing w:line="360" w:lineRule="auto"/>
        <w:ind w:left="69" w:leftChars="33"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2025</w:t>
      </w:r>
      <w:r>
        <w:rPr>
          <w:rFonts w:hint="eastAsia" w:ascii="宋体" w:hAnsi="宋体" w:eastAsia="宋体" w:cs="宋体"/>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年 </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7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2</w:t>
      </w:r>
      <w:r>
        <w:rPr>
          <w:rFonts w:hint="eastAsia" w:ascii="宋体" w:hAnsi="宋体" w:eastAsia="宋体" w:cs="宋体"/>
          <w:color w:val="000000" w:themeColor="text1"/>
          <w:sz w:val="24"/>
          <w:szCs w:val="24"/>
          <w:highlight w:val="none"/>
          <w14:textFill>
            <w14:solidFill>
              <w14:schemeClr w14:val="tx1"/>
            </w14:solidFill>
          </w14:textFill>
        </w:rPr>
        <w:t xml:space="preserve"> 日至</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16</w:t>
      </w:r>
      <w:r>
        <w:rPr>
          <w:rFonts w:hint="eastAsia" w:ascii="宋体" w:hAnsi="宋体" w:eastAsia="宋体" w:cs="宋体"/>
          <w:color w:val="000000" w:themeColor="text1"/>
          <w:sz w:val="24"/>
          <w:szCs w:val="24"/>
          <w:highlight w:val="none"/>
          <w14:textFill>
            <w14:solidFill>
              <w14:schemeClr w14:val="tx1"/>
            </w14:solidFill>
          </w14:textFill>
        </w:rPr>
        <w:t xml:space="preserve"> 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p>
    <w:p w14:paraId="30C8AE8D">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4.采购文件售价</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每个合同包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元人民币，售后不退。</w:t>
      </w:r>
    </w:p>
    <w:p w14:paraId="091C62CC">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提交截止时间：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17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 xml:space="preserve">0（时间） </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应在截止时间前将</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将被拒绝。</w:t>
      </w:r>
    </w:p>
    <w:p w14:paraId="39DC3925">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17</w:t>
      </w:r>
      <w:bookmarkStart w:id="3" w:name="_GoBack"/>
      <w:bookmarkEnd w:id="3"/>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0（时间）</w:t>
      </w:r>
    </w:p>
    <w:p w14:paraId="2FFEF17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对本次磋商活动事项如有疑问的，请在磋商截止时间5日之前，以书面形式与采购代理机构联系。</w:t>
      </w:r>
    </w:p>
    <w:p w14:paraId="7383118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将通过厦门市生态环境局官网、</w:t>
      </w:r>
      <w:r>
        <w:rPr>
          <w:rFonts w:hint="eastAsia" w:ascii="宋体" w:hAnsi="宋体" w:cs="宋体"/>
          <w:color w:val="000000" w:themeColor="text1"/>
          <w:sz w:val="24"/>
          <w:szCs w:val="24"/>
          <w:highlight w:val="none"/>
          <w:lang w:eastAsia="zh-CN"/>
          <w14:textFill>
            <w14:solidFill>
              <w14:schemeClr w14:val="tx1"/>
            </w14:solidFill>
          </w14:textFill>
        </w:rPr>
        <w:t>厦门招投标网</w:t>
      </w:r>
      <w:r>
        <w:rPr>
          <w:rFonts w:hint="eastAsia" w:ascii="宋体" w:hAnsi="宋体" w:eastAsia="宋体" w:cs="宋体"/>
          <w:bCs/>
          <w:color w:val="000000" w:themeColor="text1"/>
          <w:sz w:val="24"/>
          <w:szCs w:val="24"/>
          <w:highlight w:val="none"/>
          <w14:textFill>
            <w14:solidFill>
              <w14:schemeClr w14:val="tx1"/>
            </w14:solidFill>
          </w14:textFill>
        </w:rPr>
        <w:t>等信息发布媒体通知,</w:t>
      </w:r>
      <w:r>
        <w:rPr>
          <w:rFonts w:hint="eastAsia" w:ascii="宋体" w:hAnsi="宋体" w:eastAsia="宋体" w:cs="宋体"/>
          <w:color w:val="000000" w:themeColor="text1"/>
          <w:sz w:val="24"/>
          <w:szCs w:val="24"/>
          <w:highlight w:val="none"/>
          <w14:textFill>
            <w14:solidFill>
              <w14:schemeClr w14:val="tx1"/>
            </w14:solidFill>
          </w14:textFill>
        </w:rPr>
        <w:t>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关注。</w:t>
      </w:r>
    </w:p>
    <w:p w14:paraId="3818601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9.本项目（不接受）联合体报价。</w:t>
      </w:r>
    </w:p>
    <w:p w14:paraId="70514627">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25"/>
        <w:tblW w:w="85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3"/>
        <w:gridCol w:w="1008"/>
        <w:gridCol w:w="1303"/>
        <w:gridCol w:w="2539"/>
        <w:gridCol w:w="2773"/>
      </w:tblGrid>
      <w:tr w14:paraId="6AFC7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63" w:type="dxa"/>
            <w:tcBorders>
              <w:top w:val="double" w:color="auto" w:sz="4" w:space="0"/>
              <w:left w:val="double" w:color="auto" w:sz="4" w:space="0"/>
              <w:bottom w:val="single" w:color="auto" w:sz="6" w:space="0"/>
              <w:right w:val="single" w:color="auto" w:sz="6" w:space="0"/>
            </w:tcBorders>
            <w:noWrap w:val="0"/>
            <w:vAlign w:val="center"/>
          </w:tcPr>
          <w:p w14:paraId="46FB5179">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008" w:type="dxa"/>
            <w:tcBorders>
              <w:top w:val="double" w:color="auto" w:sz="4" w:space="0"/>
              <w:left w:val="single" w:color="auto" w:sz="6" w:space="0"/>
              <w:bottom w:val="single" w:color="auto" w:sz="6" w:space="0"/>
              <w:right w:val="single" w:color="auto" w:sz="6" w:space="0"/>
            </w:tcBorders>
            <w:noWrap w:val="0"/>
            <w:vAlign w:val="center"/>
          </w:tcPr>
          <w:p w14:paraId="1483F668">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303" w:type="dxa"/>
            <w:tcBorders>
              <w:top w:val="double" w:color="auto" w:sz="4" w:space="0"/>
              <w:left w:val="single" w:color="auto" w:sz="6" w:space="0"/>
              <w:bottom w:val="single" w:color="auto" w:sz="6" w:space="0"/>
              <w:right w:val="single" w:color="auto" w:sz="6" w:space="0"/>
            </w:tcBorders>
            <w:noWrap w:val="0"/>
            <w:vAlign w:val="center"/>
          </w:tcPr>
          <w:p w14:paraId="0177F847">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539" w:type="dxa"/>
            <w:tcBorders>
              <w:top w:val="double" w:color="auto" w:sz="4" w:space="0"/>
              <w:left w:val="single" w:color="auto" w:sz="6" w:space="0"/>
              <w:bottom w:val="single" w:color="auto" w:sz="6" w:space="0"/>
              <w:right w:val="single" w:color="auto" w:sz="6" w:space="0"/>
            </w:tcBorders>
            <w:noWrap w:val="0"/>
            <w:vAlign w:val="center"/>
          </w:tcPr>
          <w:p w14:paraId="7B79AA64">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773" w:type="dxa"/>
            <w:tcBorders>
              <w:top w:val="double" w:color="auto" w:sz="4" w:space="0"/>
              <w:left w:val="single" w:color="auto" w:sz="6" w:space="0"/>
              <w:bottom w:val="single" w:color="auto" w:sz="6" w:space="0"/>
              <w:right w:val="double" w:color="auto" w:sz="4" w:space="0"/>
            </w:tcBorders>
            <w:noWrap w:val="0"/>
            <w:vAlign w:val="center"/>
          </w:tcPr>
          <w:p w14:paraId="0FBA1446">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14:paraId="65F74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529C6AC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3B38D781">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422FEC2A">
            <w:pPr>
              <w:spacing w:line="360" w:lineRule="auto"/>
              <w:ind w:firstLine="240" w:firstLineChars="1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李先生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4562C569">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156EC8E0">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5730289</w:t>
            </w:r>
          </w:p>
          <w:p w14:paraId="733D9F2D">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14:paraId="5706E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5CFDB1B7">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30EB14C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72FC56B5">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2865895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磋商保证金收、退</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01529461">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14:paraId="44119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24A3251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27FFBDB4">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26E1060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6CD503E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文件费、磋商保证金到账咨询</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208DA55A">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14:paraId="3469B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2DC5EBF2">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3919CB8C">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6B07AFF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1C87FC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7502C340">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14:paraId="50F3D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09E930A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61ED61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056B25E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25AE24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w:t>
            </w: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对项目采购过程中公告发布、采购文件购买、磋商保证金缴交和退还、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3885D67F">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14:paraId="01365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156C1D4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102E38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45C7662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459A6C6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572DCB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14:paraId="1FFAACB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14:paraId="3604E9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EEB3AE8">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14:paraId="6DBF5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double" w:color="auto" w:sz="4" w:space="0"/>
              <w:right w:val="single" w:color="auto" w:sz="6" w:space="0"/>
            </w:tcBorders>
            <w:noWrap w:val="0"/>
            <w:vAlign w:val="center"/>
          </w:tcPr>
          <w:p w14:paraId="52A687CF">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008" w:type="dxa"/>
            <w:tcBorders>
              <w:top w:val="single" w:color="auto" w:sz="6" w:space="0"/>
              <w:left w:val="single" w:color="auto" w:sz="6" w:space="0"/>
              <w:bottom w:val="double" w:color="auto" w:sz="4" w:space="0"/>
              <w:right w:val="single" w:color="auto" w:sz="6" w:space="0"/>
            </w:tcBorders>
            <w:noWrap w:val="0"/>
            <w:vAlign w:val="center"/>
          </w:tcPr>
          <w:p w14:paraId="12A984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303" w:type="dxa"/>
            <w:tcBorders>
              <w:top w:val="single" w:color="auto" w:sz="6" w:space="0"/>
              <w:left w:val="single" w:color="auto" w:sz="6" w:space="0"/>
              <w:bottom w:val="double" w:color="auto" w:sz="4" w:space="0"/>
              <w:right w:val="single" w:color="auto" w:sz="6" w:space="0"/>
            </w:tcBorders>
            <w:noWrap w:val="0"/>
            <w:vAlign w:val="center"/>
          </w:tcPr>
          <w:p w14:paraId="183D1399">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539" w:type="dxa"/>
            <w:tcBorders>
              <w:top w:val="single" w:color="auto" w:sz="6" w:space="0"/>
              <w:left w:val="single" w:color="auto" w:sz="6" w:space="0"/>
              <w:bottom w:val="double" w:color="auto" w:sz="4" w:space="0"/>
              <w:right w:val="single" w:color="auto" w:sz="6" w:space="0"/>
            </w:tcBorders>
            <w:noWrap w:val="0"/>
            <w:vAlign w:val="center"/>
          </w:tcPr>
          <w:p w14:paraId="2337071F">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773" w:type="dxa"/>
            <w:tcBorders>
              <w:top w:val="single" w:color="auto" w:sz="6" w:space="0"/>
              <w:left w:val="single" w:color="auto" w:sz="6" w:space="0"/>
              <w:bottom w:val="double" w:color="auto" w:sz="4" w:space="0"/>
              <w:right w:val="double" w:color="auto" w:sz="4" w:space="0"/>
            </w:tcBorders>
            <w:noWrap w:val="0"/>
            <w:vAlign w:val="center"/>
          </w:tcPr>
          <w:p w14:paraId="7613B71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14:paraId="2315A0D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14:paraId="7482D334">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25"/>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702"/>
        <w:gridCol w:w="4137"/>
      </w:tblGrid>
      <w:tr w14:paraId="6B8CE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14:paraId="2329363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02" w:type="dxa"/>
            <w:tcBorders>
              <w:top w:val="double" w:color="auto" w:sz="4" w:space="0"/>
              <w:left w:val="single" w:color="auto" w:sz="6" w:space="0"/>
              <w:bottom w:val="single" w:color="auto" w:sz="6" w:space="0"/>
              <w:right w:val="single" w:color="auto" w:sz="6" w:space="0"/>
            </w:tcBorders>
            <w:noWrap w:val="0"/>
            <w:vAlign w:val="center"/>
          </w:tcPr>
          <w:p w14:paraId="3DC86E1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磋商保证金缴交账户</w:t>
            </w:r>
          </w:p>
        </w:tc>
        <w:tc>
          <w:tcPr>
            <w:tcW w:w="4137" w:type="dxa"/>
            <w:tcBorders>
              <w:top w:val="double" w:color="auto" w:sz="4" w:space="0"/>
              <w:left w:val="single" w:color="auto" w:sz="6" w:space="0"/>
              <w:bottom w:val="single" w:color="auto" w:sz="6" w:space="0"/>
              <w:right w:val="double" w:color="auto" w:sz="4" w:space="0"/>
            </w:tcBorders>
            <w:noWrap w:val="0"/>
            <w:vAlign w:val="center"/>
          </w:tcPr>
          <w:p w14:paraId="00BF7AD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14:paraId="3591A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2A757E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02" w:type="dxa"/>
            <w:tcBorders>
              <w:top w:val="single" w:color="auto" w:sz="6" w:space="0"/>
              <w:left w:val="single" w:color="auto" w:sz="6" w:space="0"/>
              <w:bottom w:val="single" w:color="auto" w:sz="6" w:space="0"/>
              <w:right w:val="single" w:color="auto" w:sz="6" w:space="0"/>
            </w:tcBorders>
            <w:noWrap w:val="0"/>
            <w:vAlign w:val="center"/>
          </w:tcPr>
          <w:p w14:paraId="3DBE975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137" w:type="dxa"/>
            <w:tcBorders>
              <w:top w:val="single" w:color="auto" w:sz="6" w:space="0"/>
              <w:left w:val="single" w:color="auto" w:sz="6" w:space="0"/>
              <w:bottom w:val="single" w:color="auto" w:sz="6" w:space="0"/>
              <w:right w:val="double" w:color="auto" w:sz="4" w:space="0"/>
            </w:tcBorders>
            <w:noWrap w:val="0"/>
            <w:vAlign w:val="center"/>
          </w:tcPr>
          <w:p w14:paraId="574004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14:paraId="7E192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14FA7F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02" w:type="dxa"/>
            <w:tcBorders>
              <w:top w:val="single" w:color="auto" w:sz="6" w:space="0"/>
              <w:left w:val="single" w:color="auto" w:sz="6" w:space="0"/>
              <w:bottom w:val="single" w:color="auto" w:sz="6" w:space="0"/>
              <w:right w:val="single" w:color="auto" w:sz="6" w:space="0"/>
            </w:tcBorders>
            <w:noWrap w:val="0"/>
            <w:vAlign w:val="center"/>
          </w:tcPr>
          <w:p w14:paraId="43D692D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137" w:type="dxa"/>
            <w:tcBorders>
              <w:top w:val="single" w:color="auto" w:sz="6" w:space="0"/>
              <w:left w:val="single" w:color="auto" w:sz="6" w:space="0"/>
              <w:bottom w:val="single" w:color="auto" w:sz="6" w:space="0"/>
              <w:right w:val="double" w:color="auto" w:sz="4" w:space="0"/>
            </w:tcBorders>
            <w:noWrap w:val="0"/>
            <w:vAlign w:val="center"/>
          </w:tcPr>
          <w:p w14:paraId="59FC85B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14:paraId="11BA9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14:paraId="53066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14:paraId="30CA89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14:paraId="17C30AA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须将相关的费用缴交至上表对应的账号，缴错账号而产生的一切后果由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自行承担。</w:t>
      </w:r>
    </w:p>
    <w:p w14:paraId="4F9BBB3A">
      <w:pPr>
        <w:numPr>
          <w:ilvl w:val="0"/>
          <w:numId w:val="0"/>
        </w:numP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注意事项：</w:t>
      </w:r>
    </w:p>
    <w:p w14:paraId="7C521772">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（1）有意向的潜在</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default" w:ascii="宋体" w:hAnsi="宋体" w:cs="宋体"/>
          <w:color w:val="000000" w:themeColor="text1"/>
          <w:sz w:val="24"/>
          <w:szCs w:val="24"/>
          <w:highlight w:val="none"/>
          <w:lang w:val="en-US" w:eastAsia="zh-CN"/>
          <w14:textFill>
            <w14:solidFill>
              <w14:schemeClr w14:val="tx1"/>
            </w14:solidFill>
          </w14:textFill>
        </w:rPr>
        <w:t>发邮件至wxsb@iport.com.cn索取</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购买登记表。</w:t>
      </w:r>
    </w:p>
    <w:p w14:paraId="2A484822">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（2）建议采用电汇或网银购买</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，请</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default" w:ascii="宋体" w:hAnsi="宋体" w:cs="宋体"/>
          <w:color w:val="000000" w:themeColor="text1"/>
          <w:sz w:val="24"/>
          <w:szCs w:val="24"/>
          <w:highlight w:val="none"/>
          <w:lang w:val="en-US" w:eastAsia="zh-CN"/>
          <w14:textFill>
            <w14:solidFill>
              <w14:schemeClr w14:val="tx1"/>
            </w14:solidFill>
          </w14:textFill>
        </w:rPr>
        <w:t>付款时务必注明“</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default" w:ascii="宋体" w:hAnsi="宋体" w:cs="宋体"/>
          <w:color w:val="000000" w:themeColor="text1"/>
          <w:sz w:val="24"/>
          <w:szCs w:val="24"/>
          <w:highlight w:val="none"/>
          <w:lang w:val="en-US" w:eastAsia="zh-CN"/>
          <w14:textFill>
            <w14:solidFill>
              <w14:schemeClr w14:val="tx1"/>
            </w14:solidFill>
          </w14:textFill>
        </w:rPr>
        <w:t>编号+用途”（比如：XM</w:t>
      </w: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default"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TZ</w:t>
      </w:r>
      <w:r>
        <w:rPr>
          <w:rFonts w:hint="default" w:ascii="宋体" w:hAnsi="宋体" w:cs="宋体"/>
          <w:color w:val="000000" w:themeColor="text1"/>
          <w:sz w:val="24"/>
          <w:szCs w:val="24"/>
          <w:highlight w:val="none"/>
          <w:lang w:val="en-US" w:eastAsia="zh-CN"/>
          <w14:textFill>
            <w14:solidFill>
              <w14:schemeClr w14:val="tx1"/>
            </w14:solidFill>
          </w14:textFill>
        </w:rPr>
        <w:t>00XX文件费）。</w:t>
      </w:r>
    </w:p>
    <w:p w14:paraId="13971B7D">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（3）潜在</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default" w:ascii="宋体" w:hAnsi="宋体" w:cs="宋体"/>
          <w:color w:val="000000" w:themeColor="text1"/>
          <w:sz w:val="24"/>
          <w:szCs w:val="24"/>
          <w:highlight w:val="none"/>
          <w:lang w:val="en-US" w:eastAsia="zh-CN"/>
          <w14:textFill>
            <w14:solidFill>
              <w14:schemeClr w14:val="tx1"/>
            </w14:solidFill>
          </w14:textFill>
        </w:rPr>
        <w:t>填好购买登记表后将加盖公章的文件购买登记表</w:t>
      </w:r>
      <w:r>
        <w:rPr>
          <w:rFonts w:hint="eastAsia" w:ascii="宋体" w:hAnsi="宋体" w:cs="宋体"/>
          <w:color w:val="000000" w:themeColor="text1"/>
          <w:sz w:val="24"/>
          <w:szCs w:val="24"/>
          <w:highlight w:val="none"/>
          <w:lang w:val="en-US" w:eastAsia="zh-CN"/>
          <w14:textFill>
            <w14:solidFill>
              <w14:schemeClr w14:val="tx1"/>
            </w14:solidFill>
          </w14:textFill>
        </w:rPr>
        <w:t>复印件</w:t>
      </w:r>
      <w:r>
        <w:rPr>
          <w:rFonts w:hint="default" w:ascii="宋体" w:hAnsi="宋体" w:cs="宋体"/>
          <w:color w:val="000000" w:themeColor="text1"/>
          <w:sz w:val="24"/>
          <w:szCs w:val="24"/>
          <w:highlight w:val="none"/>
          <w:lang w:val="en-US" w:eastAsia="zh-CN"/>
          <w14:textFill>
            <w14:solidFill>
              <w14:schemeClr w14:val="tx1"/>
            </w14:solidFill>
          </w14:textFill>
        </w:rPr>
        <w:t>及文件购买付款凭证发至wxsb@iport.com.cn进行购买登记，收到登记资料后发送</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电子版，如需纸质版，</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default" w:ascii="宋体" w:hAnsi="宋体" w:cs="宋体"/>
          <w:color w:val="000000" w:themeColor="text1"/>
          <w:sz w:val="24"/>
          <w:szCs w:val="24"/>
          <w:highlight w:val="none"/>
          <w:lang w:val="en-US" w:eastAsia="zh-CN"/>
          <w14:textFill>
            <w14:solidFill>
              <w14:schemeClr w14:val="tx1"/>
            </w14:solidFill>
          </w14:textFill>
        </w:rPr>
        <w:t>可以邮寄，邮费需到付。</w:t>
      </w:r>
    </w:p>
    <w:p w14:paraId="623672F3">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（4）文件费及项目</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default" w:ascii="宋体" w:hAnsi="宋体" w:cs="宋体"/>
          <w:color w:val="000000" w:themeColor="text1"/>
          <w:sz w:val="24"/>
          <w:szCs w:val="24"/>
          <w:highlight w:val="none"/>
          <w:lang w:val="en-US" w:eastAsia="zh-CN"/>
          <w14:textFill>
            <w14:solidFill>
              <w14:schemeClr w14:val="tx1"/>
            </w14:solidFill>
          </w14:textFill>
        </w:rPr>
        <w:t>供应商服务费等发票均以邮件方式发送至购标指定邮箱。</w:t>
      </w:r>
    </w:p>
    <w:p w14:paraId="6A1A69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14:paraId="10F5B6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14:paraId="48CB25C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14:paraId="5764F761">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p>
    <w:p w14:paraId="1D9F3ABA">
      <w:pPr>
        <w:pStyle w:val="7"/>
        <w:spacing w:after="0" w:line="360" w:lineRule="auto"/>
        <w:ind w:right="60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14:paraId="7C4DFB06">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附：采购服务一览表</w:t>
      </w:r>
    </w:p>
    <w:tbl>
      <w:tblPr>
        <w:tblStyle w:val="25"/>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960"/>
        <w:gridCol w:w="1570"/>
        <w:gridCol w:w="700"/>
        <w:gridCol w:w="2144"/>
        <w:gridCol w:w="2280"/>
      </w:tblGrid>
      <w:tr w14:paraId="0A69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14:paraId="36A263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960" w:type="dxa"/>
            <w:noWrap w:val="0"/>
            <w:vAlign w:val="center"/>
          </w:tcPr>
          <w:p w14:paraId="30A0D9D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570" w:type="dxa"/>
            <w:noWrap w:val="0"/>
            <w:vAlign w:val="center"/>
          </w:tcPr>
          <w:p w14:paraId="24140E5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700" w:type="dxa"/>
            <w:noWrap w:val="0"/>
            <w:vAlign w:val="center"/>
          </w:tcPr>
          <w:p w14:paraId="6884DF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144" w:type="dxa"/>
            <w:noWrap w:val="0"/>
            <w:vAlign w:val="center"/>
          </w:tcPr>
          <w:p w14:paraId="00E0FB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w:t>
            </w:r>
          </w:p>
          <w:p w14:paraId="45EF6F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(服务要求)</w:t>
            </w:r>
          </w:p>
        </w:tc>
        <w:tc>
          <w:tcPr>
            <w:tcW w:w="2280" w:type="dxa"/>
            <w:noWrap w:val="0"/>
            <w:vAlign w:val="center"/>
          </w:tcPr>
          <w:p w14:paraId="775AC921">
            <w:pPr>
              <w:spacing w:line="360" w:lineRule="auto"/>
              <w:ind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r>
      <w:tr w14:paraId="4C04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195" w:type="dxa"/>
            <w:noWrap w:val="0"/>
            <w:vAlign w:val="center"/>
          </w:tcPr>
          <w:p w14:paraId="051362DA">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960" w:type="dxa"/>
            <w:noWrap w:val="0"/>
            <w:vAlign w:val="center"/>
          </w:tcPr>
          <w:p w14:paraId="26EB17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570" w:type="dxa"/>
            <w:noWrap w:val="0"/>
            <w:vAlign w:val="center"/>
          </w:tcPr>
          <w:p w14:paraId="673EFE10">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2025年度“禾山街道、殿前街道空气自动监测站点第三方运维”</w:t>
            </w:r>
          </w:p>
        </w:tc>
        <w:tc>
          <w:tcPr>
            <w:tcW w:w="700" w:type="dxa"/>
            <w:noWrap w:val="0"/>
            <w:vAlign w:val="center"/>
          </w:tcPr>
          <w:p w14:paraId="4E5BF85D">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1项</w:t>
            </w:r>
          </w:p>
        </w:tc>
        <w:tc>
          <w:tcPr>
            <w:tcW w:w="2144" w:type="dxa"/>
            <w:noWrap w:val="0"/>
            <w:vAlign w:val="center"/>
          </w:tcPr>
          <w:p w14:paraId="46F4309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2280" w:type="dxa"/>
            <w:noWrap w:val="0"/>
            <w:vAlign w:val="center"/>
          </w:tcPr>
          <w:p w14:paraId="317A1B99">
            <w:pPr>
              <w:spacing w:line="360" w:lineRule="auto"/>
              <w:ind w:right="171"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r w14:paraId="6199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195" w:type="dxa"/>
            <w:noWrap w:val="0"/>
            <w:vAlign w:val="center"/>
          </w:tcPr>
          <w:p w14:paraId="4171CFE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7654" w:type="dxa"/>
            <w:gridSpan w:val="5"/>
            <w:noWrap w:val="0"/>
            <w:vAlign w:val="center"/>
          </w:tcPr>
          <w:p w14:paraId="58DFCA26">
            <w:pPr>
              <w:spacing w:line="360" w:lineRule="auto"/>
              <w:ind w:right="171"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r w14:paraId="6597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95" w:type="dxa"/>
            <w:noWrap w:val="0"/>
            <w:vAlign w:val="center"/>
          </w:tcPr>
          <w:p w14:paraId="61F95D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7654" w:type="dxa"/>
            <w:gridSpan w:val="5"/>
            <w:noWrap w:val="0"/>
            <w:vAlign w:val="center"/>
          </w:tcPr>
          <w:p w14:paraId="50276E4D">
            <w:pPr>
              <w:spacing w:line="360" w:lineRule="auto"/>
              <w:ind w:right="171"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r w14:paraId="062C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195" w:type="dxa"/>
            <w:noWrap w:val="0"/>
            <w:vAlign w:val="center"/>
          </w:tcPr>
          <w:p w14:paraId="7EAC72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7654" w:type="dxa"/>
            <w:gridSpan w:val="5"/>
            <w:noWrap w:val="0"/>
            <w:vAlign w:val="center"/>
          </w:tcPr>
          <w:p w14:paraId="14394D4C">
            <w:pPr>
              <w:spacing w:line="360" w:lineRule="auto"/>
              <w:ind w:right="171"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bl>
    <w:p w14:paraId="18BF6AD6">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2BEB2A2">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必须对合同包内所有内容进行完整报价。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可按合同包响应，评审与成交以合同包为单位。</w:t>
      </w:r>
    </w:p>
    <w:p w14:paraId="55B35E4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A92680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195068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703A80E">
      <w:pPr>
        <w:pStyle w:val="7"/>
        <w:rPr>
          <w:rFonts w:hint="eastAsia" w:ascii="宋体" w:hAnsi="宋体" w:eastAsia="宋体" w:cs="宋体"/>
          <w:b/>
          <w:bCs/>
          <w:color w:val="000000" w:themeColor="text1"/>
          <w:sz w:val="24"/>
          <w:szCs w:val="24"/>
          <w:highlight w:val="none"/>
          <w14:textFill>
            <w14:solidFill>
              <w14:schemeClr w14:val="tx1"/>
            </w14:solidFill>
          </w14:textFill>
        </w:rPr>
      </w:pPr>
    </w:p>
    <w:p w14:paraId="4C2164E7">
      <w:pPr>
        <w:pStyle w:val="8"/>
        <w:rPr>
          <w:rFonts w:hint="eastAsia" w:ascii="宋体" w:hAnsi="宋体" w:eastAsia="宋体" w:cs="宋体"/>
          <w:b/>
          <w:bCs/>
          <w:color w:val="000000" w:themeColor="text1"/>
          <w:sz w:val="24"/>
          <w:szCs w:val="24"/>
          <w:highlight w:val="none"/>
          <w14:textFill>
            <w14:solidFill>
              <w14:schemeClr w14:val="tx1"/>
            </w14:solidFill>
          </w14:textFill>
        </w:rPr>
      </w:pPr>
    </w:p>
    <w:p w14:paraId="1734B893">
      <w:pPr>
        <w:pStyle w:val="10"/>
        <w:rPr>
          <w:rFonts w:hint="eastAsia" w:ascii="宋体" w:hAnsi="宋体" w:eastAsia="宋体" w:cs="宋体"/>
          <w:b/>
          <w:bCs/>
          <w:color w:val="000000" w:themeColor="text1"/>
          <w:sz w:val="24"/>
          <w:szCs w:val="24"/>
          <w:highlight w:val="none"/>
          <w14:textFill>
            <w14:solidFill>
              <w14:schemeClr w14:val="tx1"/>
            </w14:solidFill>
          </w14:textFill>
        </w:rPr>
      </w:pPr>
    </w:p>
    <w:p w14:paraId="7E658534">
      <w:pPr>
        <w:rPr>
          <w:rFonts w:hint="eastAsia" w:ascii="宋体" w:hAnsi="宋体" w:eastAsia="宋体" w:cs="宋体"/>
          <w:b/>
          <w:bCs/>
          <w:color w:val="000000" w:themeColor="text1"/>
          <w:sz w:val="24"/>
          <w:szCs w:val="24"/>
          <w:highlight w:val="none"/>
          <w14:textFill>
            <w14:solidFill>
              <w14:schemeClr w14:val="tx1"/>
            </w14:solidFill>
          </w14:textFill>
        </w:rPr>
      </w:pPr>
    </w:p>
    <w:p w14:paraId="04F5A76C">
      <w:pPr>
        <w:pStyle w:val="7"/>
        <w:rPr>
          <w:rFonts w:hint="eastAsia" w:ascii="宋体" w:hAnsi="宋体" w:eastAsia="宋体" w:cs="宋体"/>
          <w:b/>
          <w:bCs/>
          <w:color w:val="000000" w:themeColor="text1"/>
          <w:sz w:val="24"/>
          <w:szCs w:val="24"/>
          <w:highlight w:val="none"/>
          <w14:textFill>
            <w14:solidFill>
              <w14:schemeClr w14:val="tx1"/>
            </w14:solidFill>
          </w14:textFill>
        </w:rPr>
      </w:pPr>
    </w:p>
    <w:p w14:paraId="4A0FD96F">
      <w:pPr>
        <w:pStyle w:val="8"/>
        <w:rPr>
          <w:rFonts w:hint="eastAsia" w:ascii="宋体" w:hAnsi="宋体" w:eastAsia="宋体" w:cs="宋体"/>
          <w:b/>
          <w:bCs/>
          <w:color w:val="000000" w:themeColor="text1"/>
          <w:sz w:val="24"/>
          <w:szCs w:val="24"/>
          <w:highlight w:val="none"/>
          <w14:textFill>
            <w14:solidFill>
              <w14:schemeClr w14:val="tx1"/>
            </w14:solidFill>
          </w14:textFill>
        </w:rPr>
      </w:pPr>
    </w:p>
    <w:p w14:paraId="4BE8ECE9">
      <w:pPr>
        <w:pStyle w:val="10"/>
        <w:rPr>
          <w:rFonts w:hint="eastAsia"/>
          <w:color w:val="000000" w:themeColor="text1"/>
          <w:highlight w:val="none"/>
          <w14:textFill>
            <w14:solidFill>
              <w14:schemeClr w14:val="tx1"/>
            </w14:solidFill>
          </w14:textFill>
        </w:rPr>
      </w:pPr>
    </w:p>
    <w:p w14:paraId="502B4C7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75B4B2C">
      <w:pPr>
        <w:pStyle w:val="66"/>
        <w:spacing w:line="360" w:lineRule="auto"/>
        <w:rPr>
          <w:rFonts w:hint="eastAsia" w:hAnsi="宋体" w:eastAsia="宋体" w:cs="宋体"/>
          <w:b/>
          <w:color w:val="000000" w:themeColor="text1"/>
          <w:sz w:val="24"/>
          <w:highlight w:val="none"/>
          <w14:textFill>
            <w14:solidFill>
              <w14:schemeClr w14:val="tx1"/>
            </w14:solidFill>
          </w14:textFill>
        </w:rPr>
      </w:pPr>
    </w:p>
    <w:p w14:paraId="565484FF">
      <w:pPr>
        <w:pStyle w:val="66"/>
        <w:spacing w:line="360" w:lineRule="auto"/>
        <w:rPr>
          <w:rFonts w:hint="eastAsia" w:hAnsi="宋体" w:eastAsia="宋体" w:cs="宋体"/>
          <w:b/>
          <w:color w:val="000000" w:themeColor="text1"/>
          <w:sz w:val="24"/>
          <w:highlight w:val="none"/>
          <w14:textFill>
            <w14:solidFill>
              <w14:schemeClr w14:val="tx1"/>
            </w14:solidFill>
          </w14:textFill>
        </w:rPr>
      </w:pPr>
    </w:p>
    <w:p w14:paraId="3D214EBF">
      <w:pPr>
        <w:pStyle w:val="66"/>
        <w:spacing w:line="360" w:lineRule="auto"/>
        <w:rPr>
          <w:rFonts w:hint="eastAsia" w:hAnsi="宋体" w:eastAsia="宋体" w:cs="宋体"/>
          <w:b/>
          <w:color w:val="000000" w:themeColor="text1"/>
          <w:sz w:val="24"/>
          <w:highlight w:val="none"/>
          <w14:textFill>
            <w14:solidFill>
              <w14:schemeClr w14:val="tx1"/>
            </w14:solidFill>
          </w14:textFill>
        </w:rPr>
      </w:pPr>
    </w:p>
    <w:p w14:paraId="6A358574">
      <w:pPr>
        <w:pStyle w:val="66"/>
        <w:spacing w:line="360" w:lineRule="auto"/>
        <w:rPr>
          <w:rFonts w:hint="eastAsia" w:hAnsi="宋体" w:eastAsia="宋体" w:cs="宋体"/>
          <w:b/>
          <w:color w:val="000000" w:themeColor="text1"/>
          <w:sz w:val="24"/>
          <w:highlight w:val="none"/>
          <w14:textFill>
            <w14:solidFill>
              <w14:schemeClr w14:val="tx1"/>
            </w14:solidFill>
          </w14:textFill>
        </w:rPr>
      </w:pPr>
    </w:p>
    <w:p w14:paraId="70069DEF">
      <w:pPr>
        <w:pStyle w:val="66"/>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 xml:space="preserve">第二章  </w:t>
      </w:r>
      <w:r>
        <w:rPr>
          <w:rFonts w:hint="eastAsia" w:hAnsi="宋体" w:cs="宋体"/>
          <w:b/>
          <w:color w:val="000000" w:themeColor="text1"/>
          <w:sz w:val="32"/>
          <w:szCs w:val="32"/>
          <w:highlight w:val="none"/>
          <w:lang w:eastAsia="zh-CN"/>
          <w14:textFill>
            <w14:solidFill>
              <w14:schemeClr w14:val="tx1"/>
            </w14:solidFill>
          </w14:textFill>
        </w:rPr>
        <w:t>供应商</w:t>
      </w:r>
      <w:r>
        <w:rPr>
          <w:rFonts w:hint="eastAsia" w:hAnsi="宋体" w:eastAsia="宋体" w:cs="宋体"/>
          <w:b/>
          <w:color w:val="000000" w:themeColor="text1"/>
          <w:sz w:val="32"/>
          <w:szCs w:val="32"/>
          <w:highlight w:val="none"/>
          <w14:textFill>
            <w14:solidFill>
              <w14:schemeClr w14:val="tx1"/>
            </w14:solidFill>
          </w14:textFill>
        </w:rPr>
        <w:t>须知</w:t>
      </w:r>
    </w:p>
    <w:p w14:paraId="771E50EB">
      <w:pPr>
        <w:pStyle w:val="66"/>
        <w:spacing w:line="360" w:lineRule="auto"/>
        <w:rPr>
          <w:rFonts w:hint="eastAsia" w:hAnsi="宋体" w:eastAsia="宋体" w:cs="宋体"/>
          <w:color w:val="000000" w:themeColor="text1"/>
          <w:highlight w:val="none"/>
          <w14:textFill>
            <w14:solidFill>
              <w14:schemeClr w14:val="tx1"/>
            </w14:solidFill>
          </w14:textFill>
        </w:rPr>
      </w:pPr>
    </w:p>
    <w:p w14:paraId="3E9177E2">
      <w:pPr>
        <w:pStyle w:val="66"/>
        <w:spacing w:line="360" w:lineRule="auto"/>
        <w:rPr>
          <w:rFonts w:hint="eastAsia" w:hAnsi="宋体" w:eastAsia="宋体" w:cs="宋体"/>
          <w:color w:val="000000" w:themeColor="text1"/>
          <w:highlight w:val="none"/>
          <w14:textFill>
            <w14:solidFill>
              <w14:schemeClr w14:val="tx1"/>
            </w14:solidFill>
          </w14:textFill>
        </w:rPr>
      </w:pPr>
    </w:p>
    <w:p w14:paraId="399FA3C6">
      <w:pPr>
        <w:pStyle w:val="66"/>
        <w:spacing w:line="360" w:lineRule="auto"/>
        <w:rPr>
          <w:rFonts w:hint="eastAsia" w:hAnsi="宋体" w:eastAsia="宋体" w:cs="宋体"/>
          <w:color w:val="000000" w:themeColor="text1"/>
          <w:highlight w:val="none"/>
          <w14:textFill>
            <w14:solidFill>
              <w14:schemeClr w14:val="tx1"/>
            </w14:solidFill>
          </w14:textFill>
        </w:rPr>
      </w:pPr>
    </w:p>
    <w:tbl>
      <w:tblPr>
        <w:tblStyle w:val="25"/>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226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3495B8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467DBECC">
            <w:pPr>
              <w:spacing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须知》应载明</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准备</w:t>
            </w:r>
            <w:r>
              <w:rPr>
                <w:rFonts w:hint="default" w:ascii="宋体" w:hAnsi="宋体" w:cs="宋体"/>
                <w:color w:val="000000" w:themeColor="text1"/>
                <w:kern w:val="0"/>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kern w:val="0"/>
                <w:sz w:val="24"/>
                <w:szCs w:val="24"/>
                <w:highlight w:val="none"/>
                <w14:textFill>
                  <w14:solidFill>
                    <w14:schemeClr w14:val="tx1"/>
                  </w14:solidFill>
                </w14:textFill>
              </w:rPr>
              <w:t>所必须的信息，以及递交</w:t>
            </w:r>
            <w:r>
              <w:rPr>
                <w:rFonts w:hint="default" w:ascii="宋体" w:hAnsi="宋体" w:cs="宋体"/>
                <w:color w:val="000000" w:themeColor="text1"/>
                <w:kern w:val="0"/>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kern w:val="0"/>
                <w:sz w:val="24"/>
                <w:szCs w:val="24"/>
                <w:highlight w:val="none"/>
                <w14:textFill>
                  <w14:solidFill>
                    <w14:schemeClr w14:val="tx1"/>
                  </w14:solidFill>
                </w14:textFill>
              </w:rPr>
              <w:t xml:space="preserve">、评审和签订合同等有关规定。 </w:t>
            </w:r>
          </w:p>
          <w:p w14:paraId="6F4E3BF4">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tc>
      </w:tr>
    </w:tbl>
    <w:p w14:paraId="6FF2195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92DE03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A03E05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5E50D5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E9365B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04489E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3655B0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31E59A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0C1418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59F7940">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DAEE54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CDF454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72BA5D7">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52FDC6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8FA1C32">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ACFA98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04607AE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B57BA0F">
      <w:pPr>
        <w:pStyle w:val="7"/>
        <w:rPr>
          <w:rFonts w:hint="eastAsia" w:ascii="宋体" w:hAnsi="宋体" w:eastAsia="宋体" w:cs="宋体"/>
          <w:b/>
          <w:bCs/>
          <w:color w:val="000000" w:themeColor="text1"/>
          <w:sz w:val="32"/>
          <w:szCs w:val="32"/>
          <w:highlight w:val="none"/>
          <w14:textFill>
            <w14:solidFill>
              <w14:schemeClr w14:val="tx1"/>
            </w14:solidFill>
          </w14:textFill>
        </w:rPr>
      </w:pPr>
    </w:p>
    <w:p w14:paraId="0A51C265">
      <w:pPr>
        <w:pStyle w:val="8"/>
        <w:rPr>
          <w:rFonts w:hint="eastAsia"/>
          <w:color w:val="000000" w:themeColor="text1"/>
          <w:highlight w:val="none"/>
          <w14:textFill>
            <w14:solidFill>
              <w14:schemeClr w14:val="tx1"/>
            </w14:solidFill>
          </w14:textFill>
        </w:rPr>
      </w:pPr>
    </w:p>
    <w:p w14:paraId="756E73E0">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6B62281">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须知前附表1</w:t>
      </w:r>
    </w:p>
    <w:p w14:paraId="2934118D">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本须知前附表的条款号是与《</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须知》中条款的项号相对应的。如果有矛盾的话，应以本附表为准。 </w:t>
      </w:r>
    </w:p>
    <w:tbl>
      <w:tblPr>
        <w:tblStyle w:val="2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35"/>
        <w:gridCol w:w="7551"/>
      </w:tblGrid>
      <w:tr w14:paraId="1015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top"/>
          </w:tcPr>
          <w:p w14:paraId="4A2D64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noWrap w:val="0"/>
            <w:vAlign w:val="top"/>
          </w:tcPr>
          <w:p w14:paraId="30E712D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51" w:type="dxa"/>
            <w:tcBorders>
              <w:top w:val="single" w:color="auto" w:sz="4" w:space="0"/>
              <w:left w:val="single" w:color="auto" w:sz="4" w:space="0"/>
              <w:bottom w:val="single" w:color="auto" w:sz="4" w:space="0"/>
              <w:right w:val="single" w:color="auto" w:sz="4" w:space="0"/>
            </w:tcBorders>
            <w:noWrap w:val="0"/>
            <w:vAlign w:val="top"/>
          </w:tcPr>
          <w:p w14:paraId="4D755E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14:paraId="2A96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2A49A7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AE768D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7C22E64F">
            <w:pPr>
              <w:spacing w:line="360" w:lineRule="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lang w:eastAsia="zh-CN"/>
                <w14:textFill>
                  <w14:solidFill>
                    <w14:schemeClr w14:val="tx1"/>
                  </w14:solidFill>
                </w14:textFill>
              </w:rPr>
              <w:t>2025年度“禾山街道、殿前街道空气自动监测站点第三方运维”</w:t>
            </w:r>
          </w:p>
          <w:p w14:paraId="548E454A">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cs="宋体"/>
                <w:color w:val="000000" w:themeColor="text1"/>
                <w:sz w:val="24"/>
                <w:szCs w:val="24"/>
                <w:highlight w:val="none"/>
                <w:u w:val="single"/>
                <w:lang w:eastAsia="zh-CN"/>
                <w14:textFill>
                  <w14:solidFill>
                    <w14:schemeClr w14:val="tx1"/>
                  </w14:solidFill>
                </w14:textFill>
              </w:rPr>
              <w:t>厦门市湖里生态环境局</w:t>
            </w:r>
          </w:p>
          <w:p w14:paraId="2EC7A7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采购人地址：</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厦门市湖里区禾山路266号湖里城建大厦7F </w:t>
            </w:r>
          </w:p>
          <w:p w14:paraId="40E40297">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cs="宋体"/>
                <w:color w:val="000000" w:themeColor="text1"/>
                <w:sz w:val="24"/>
                <w:szCs w:val="24"/>
                <w:highlight w:val="none"/>
                <w:u w:val="single"/>
                <w:lang w:eastAsia="zh-CN"/>
                <w14:textFill>
                  <w14:solidFill>
                    <w14:schemeClr w14:val="tx1"/>
                  </w14:solidFill>
                </w14:textFill>
              </w:rPr>
              <w:t>2025年度“禾山街道、殿前街道空气自动监测站点第三方运维”</w:t>
            </w:r>
          </w:p>
          <w:p w14:paraId="3BDF7FAC">
            <w:pPr>
              <w:spacing w:line="360" w:lineRule="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XM2025-TZ0242C1</w:t>
            </w:r>
          </w:p>
        </w:tc>
      </w:tr>
      <w:tr w14:paraId="1322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20236E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4813B4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14:paraId="3A3DD33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是否允许中国境外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参加本采购项目：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tc>
      </w:tr>
      <w:tr w14:paraId="6251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335761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9EA00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43F9E9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14:paraId="7D60B3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w:t>
            </w:r>
            <w:r>
              <w:rPr>
                <w:rFonts w:hint="eastAsia" w:ascii="宋体" w:hAnsi="宋体" w:cs="宋体"/>
                <w:color w:val="000000" w:themeColor="text1"/>
                <w:sz w:val="24"/>
                <w:szCs w:val="24"/>
                <w:highlight w:val="none"/>
                <w:lang w:eastAsia="zh-CN"/>
                <w14:textFill>
                  <w14:solidFill>
                    <w14:schemeClr w14:val="tx1"/>
                  </w14:solidFill>
                </w14:textFill>
              </w:rPr>
              <w:t>供应商须知</w:t>
            </w:r>
            <w:r>
              <w:rPr>
                <w:rFonts w:hint="eastAsia" w:ascii="宋体" w:hAnsi="宋体" w:eastAsia="宋体" w:cs="宋体"/>
                <w:color w:val="000000" w:themeColor="text1"/>
                <w:sz w:val="24"/>
                <w:szCs w:val="24"/>
                <w:highlight w:val="none"/>
                <w14:textFill>
                  <w14:solidFill>
                    <w14:schemeClr w14:val="tx1"/>
                  </w14:solidFill>
                </w14:textFill>
              </w:rPr>
              <w:t>》第3条，以及第三章《采购内容及要求》有关内容。</w:t>
            </w:r>
          </w:p>
        </w:tc>
      </w:tr>
      <w:tr w14:paraId="7586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165E93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34366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4FDF997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33C794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被拒绝。</w:t>
            </w:r>
          </w:p>
        </w:tc>
      </w:tr>
      <w:tr w14:paraId="6F8B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38A6A0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6BA1B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14:paraId="5714BB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递交地址：</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厦门市湖里区机场北路476号四楼开标厅</w:t>
            </w:r>
          </w:p>
          <w:p w14:paraId="6681AB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李先生</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DE29A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提交截止时间：详见磋商邀请。</w:t>
            </w:r>
          </w:p>
        </w:tc>
      </w:tr>
      <w:tr w14:paraId="23E2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3F82764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DAC072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5856B904">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r>
              <w:rPr>
                <w:rFonts w:hint="eastAsia" w:ascii="宋体" w:hAnsi="宋体" w:cs="宋体"/>
                <w:color w:val="000000" w:themeColor="text1"/>
                <w:sz w:val="24"/>
                <w:szCs w:val="24"/>
                <w:highlight w:val="none"/>
                <w:lang w:val="en-US" w:eastAsia="zh-CN"/>
                <w14:textFill>
                  <w14:solidFill>
                    <w14:schemeClr w14:val="tx1"/>
                  </w14:solidFill>
                </w14:textFill>
              </w:rPr>
              <w:t>本项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目免收保证金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tc>
      </w:tr>
      <w:tr w14:paraId="2CBC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4D4B09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0D4F0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top"/>
          </w:tcPr>
          <w:p w14:paraId="75F2FB78">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磋商规则、评审标准：</w:t>
            </w:r>
          </w:p>
          <w:p w14:paraId="4009E59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w:t>
            </w:r>
            <w:r>
              <w:rPr>
                <w:rFonts w:hint="eastAsia" w:ascii="宋体" w:hAnsi="宋体" w:cs="宋体"/>
                <w:color w:val="000000" w:themeColor="text1"/>
                <w:sz w:val="24"/>
                <w:szCs w:val="24"/>
                <w:highlight w:val="none"/>
                <w:u w:val="singl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须知前附表3》；</w:t>
            </w:r>
          </w:p>
        </w:tc>
      </w:tr>
      <w:tr w14:paraId="1268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6C0B21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59D58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51A1C63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p>
          <w:p w14:paraId="26C91214">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按定额人民币3000元收取</w:t>
            </w:r>
          </w:p>
          <w:p w14:paraId="4719FC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由成交供应商支付。</w:t>
            </w:r>
          </w:p>
          <w:p w14:paraId="2AD7F21F">
            <w:pPr>
              <w:numPr>
                <w:ilvl w:val="0"/>
                <w:numId w:val="0"/>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成交供应商以转账或汇款方式提交。</w:t>
            </w:r>
          </w:p>
          <w:p w14:paraId="70267A92">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成交供应商为中小企业的，其</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服务收费标准下浮10%进行支付。</w:t>
            </w:r>
          </w:p>
          <w:p w14:paraId="584656C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6ADED2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1B693F89">
      <w:pPr>
        <w:spacing w:line="360" w:lineRule="auto"/>
        <w:jc w:val="center"/>
        <w:rPr>
          <w:rFonts w:hint="eastAsia" w:ascii="宋体" w:hAnsi="宋体" w:eastAsia="宋体" w:cs="宋体"/>
          <w:b/>
          <w:bCs/>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32"/>
          <w:szCs w:val="32"/>
          <w:highlight w:val="none"/>
          <w:u w:val="singl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u w:val="single"/>
          <w14:textFill>
            <w14:solidFill>
              <w14:schemeClr w14:val="tx1"/>
            </w14:solidFill>
          </w14:textFill>
        </w:rPr>
        <w:t>须知前附表2:资格性、符合性检查表</w:t>
      </w:r>
    </w:p>
    <w:p w14:paraId="547C1262">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本须知前附表2集中列示了资格性、符合性检查的所有条款，其内容是磋商小组判断</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的报价是否有效的重要依据。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374A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63E3249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资格性要求</w:t>
            </w:r>
          </w:p>
        </w:tc>
      </w:tr>
      <w:tr w14:paraId="1D52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2FCDC5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7ED3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5CCA1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193361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5D1B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52DC34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05CE70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4FBF22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6746F904">
            <w:pPr>
              <w:pStyle w:val="12"/>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w:t>
            </w:r>
            <w:r>
              <w:rPr>
                <w:rFonts w:hint="eastAsia" w:hAnsi="宋体" w:cs="宋体"/>
                <w:b/>
                <w:color w:val="000000" w:themeColor="text1"/>
                <w:sz w:val="24"/>
                <w:szCs w:val="24"/>
                <w:highlight w:val="none"/>
                <w:lang w:val="en-US" w:eastAsia="zh-CN"/>
                <w14:textFill>
                  <w14:solidFill>
                    <w14:schemeClr w14:val="tx1"/>
                  </w14:solidFill>
                </w14:textFill>
              </w:rPr>
              <w:t>供应商</w:t>
            </w:r>
          </w:p>
          <w:p w14:paraId="3443C3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均可能成为合格的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39EBE7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具备《中华人民共和国政府采购法》第二十二条第一款规定的条件，应提供以下材料：</w:t>
            </w:r>
          </w:p>
          <w:p w14:paraId="684CC6CC">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w:t>
            </w:r>
          </w:p>
          <w:p w14:paraId="5F765393">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提供福建省</w:t>
            </w:r>
            <w:r>
              <w:rPr>
                <w:rFonts w:hint="eastAsia" w:ascii="宋体" w:hAnsi="宋体" w:eastAsia="宋体" w:cs="宋体"/>
                <w:color w:val="000000" w:themeColor="text1"/>
                <w:sz w:val="24"/>
                <w:szCs w:val="24"/>
                <w:highlight w:val="none"/>
                <w14:textFill>
                  <w14:solidFill>
                    <w14:schemeClr w14:val="tx1"/>
                  </w14:solidFill>
                </w14:textFill>
              </w:rPr>
              <w:t>政府采购供应商资格承诺函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6D96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全权代表若不是单位负责人，应提供单位授权书原件，并提供被授权代表身份证复印件。</w:t>
            </w:r>
          </w:p>
          <w:p w14:paraId="6CDD89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应遵守有关法律、法规和规章的规定，同时其响应货物或服务也应符合有关法律、法规和规章的规定。</w:t>
            </w:r>
          </w:p>
          <w:p w14:paraId="1E55B1B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只能提交一个</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。如果</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之间存在下列互为关联关系的情形之一的，不得同时参加本项目同一合同包响应：</w:t>
            </w:r>
          </w:p>
          <w:p w14:paraId="24FC47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4FC0D8F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21BBD9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3E0122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64D3E0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可以组成一个响应联合体，以一个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的身份响应。</w:t>
            </w:r>
          </w:p>
          <w:p w14:paraId="23FBBA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相关规定。采购人根据采购项目的特殊要求规定</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特定条件的，联合体各方中至少应当有一方符合采购人规定的特定条件，如联合体各方中没有一方符合特定条件的，该联合体响应无效。</w:t>
            </w:r>
          </w:p>
          <w:p w14:paraId="40D2C4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一并提交采购代理机构。联合体各方签订共同磋商协议后，不得再以自己名义单独在同一项目中响应，也不得组成新的联合体参加同一项目响应。</w:t>
            </w:r>
          </w:p>
          <w:p w14:paraId="6FE6BE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中仅加盖联合体一方公章的相关文件，对联合体各方均具有约束力。</w:t>
            </w:r>
          </w:p>
          <w:p w14:paraId="1B66A9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承担。联合体协议及签订的采购合同应包含此项内容。</w:t>
            </w:r>
          </w:p>
          <w:p w14:paraId="329AFEF0">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按照联合体分工承担相同工作的，应当按照资质等级较低的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确定资质等级。</w:t>
            </w:r>
          </w:p>
          <w:p w14:paraId="71B48C6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的委托参加磋商响应。</w:t>
            </w:r>
          </w:p>
          <w:p w14:paraId="1C4CFE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存在下列情形之一的，将被认定为串通响应行为并作无效响应处理：</w:t>
            </w:r>
          </w:p>
          <w:p w14:paraId="41A63A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之间协商磋商报价等采购文件的实质性内容；</w:t>
            </w:r>
          </w:p>
          <w:p w14:paraId="203D40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之间约定成交供应商；</w:t>
            </w:r>
          </w:p>
          <w:p w14:paraId="45B73F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之间约定部分</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放弃磋商响应或者成交；</w:t>
            </w:r>
          </w:p>
          <w:p w14:paraId="0348D84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按照该组织要求协同磋商响应；</w:t>
            </w:r>
          </w:p>
          <w:p w14:paraId="143EC8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之间为谋取成交或者排斥特定</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而采取的其他联合行动；</w:t>
            </w:r>
          </w:p>
          <w:p w14:paraId="764BCD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由同一单位或者个人编制；</w:t>
            </w:r>
          </w:p>
          <w:p w14:paraId="6E61B1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委托同一单位或者个人办理磋商响应事宜；</w:t>
            </w:r>
          </w:p>
          <w:p w14:paraId="1E4034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载明的项目管理成员为同一人；</w:t>
            </w:r>
          </w:p>
          <w:p w14:paraId="241637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异常一致或者报价呈规律性差异；</w:t>
            </w:r>
          </w:p>
          <w:p w14:paraId="736466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相互混装；</w:t>
            </w:r>
          </w:p>
          <w:p w14:paraId="48E669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的磋商保证金从同一单位或者个人的账户转出。</w:t>
            </w:r>
          </w:p>
          <w:p w14:paraId="233ED9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错、漏之处一致或雷同，且不能合理解释的；</w:t>
            </w:r>
          </w:p>
          <w:p w14:paraId="27111E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的法定代表人、委托代理人等由同一个单位缴纳社会保险的；</w:t>
            </w:r>
          </w:p>
          <w:p w14:paraId="55AFAE4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的企业资料参与资格审查、领取采购资料，或代表两个以上（含两个）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参加项目答疑会、交纳或退还磋商保证金、参加磋商的；</w:t>
            </w:r>
          </w:p>
          <w:p w14:paraId="266A8B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（15）有关法律、法规或规章规定的其他串通行为。</w:t>
            </w:r>
          </w:p>
        </w:tc>
      </w:tr>
      <w:tr w14:paraId="2EA7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31E90B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3FFA74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6D49E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3C398279">
            <w:pPr>
              <w:tabs>
                <w:tab w:val="left" w:pos="63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w:t>
            </w:r>
            <w:r>
              <w:rPr>
                <w:rFonts w:hint="eastAsia" w:ascii="宋体" w:hAnsi="宋体" w:cs="宋体"/>
                <w:color w:val="000000" w:themeColor="text1"/>
                <w:sz w:val="24"/>
                <w:szCs w:val="24"/>
                <w:highlight w:val="none"/>
                <w:lang w:val="en-US" w:eastAsia="zh-CN"/>
                <w14:textFill>
                  <w14:solidFill>
                    <w14:schemeClr w14:val="tx1"/>
                  </w14:solidFill>
                </w14:textFill>
              </w:rPr>
              <w:t>中国政府采购</w:t>
            </w:r>
            <w:r>
              <w:rPr>
                <w:rFonts w:hint="eastAsia" w:ascii="宋体" w:hAnsi="宋体" w:cs="宋体"/>
                <w:color w:val="000000" w:themeColor="text1"/>
                <w:sz w:val="24"/>
                <w:szCs w:val="24"/>
                <w:highlight w:val="none"/>
                <w:lang w:eastAsia="zh-CN"/>
                <w14:textFill>
                  <w14:solidFill>
                    <w14:schemeClr w14:val="tx1"/>
                  </w14:solidFill>
                </w14:textFill>
              </w:rPr>
              <w:t>网</w:t>
            </w:r>
            <w:r>
              <w:rPr>
                <w:rFonts w:hint="eastAsia" w:ascii="宋体" w:hAnsi="宋体" w:eastAsia="宋体" w:cs="宋体"/>
                <w:color w:val="000000" w:themeColor="text1"/>
                <w:sz w:val="24"/>
                <w:szCs w:val="24"/>
                <w:highlight w:val="none"/>
                <w14:textFill>
                  <w14:solidFill>
                    <w14:schemeClr w14:val="tx1"/>
                  </w14:solidFill>
                </w14:textFill>
              </w:rPr>
              <w:t>（www.ccgp.gov.cn）、“信用厦门”网站（credit.xm.gov.cn）查询并打印</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信用记录（以下简称：“评审专家的查询结果”）。②查询结果存在</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存在不良信用记录（包括联合体各方，联合体成员存在不良记录的，视同联合体存在不良信用记录，认定联合体资格审查不合格）应被拒绝参与政府采购活动相关信息的，其资格审查不合格。</w:t>
            </w:r>
          </w:p>
        </w:tc>
      </w:tr>
      <w:tr w14:paraId="339D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63ED504A">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top"/>
          </w:tcPr>
          <w:p w14:paraId="3B5E25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CCEAE9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117C3C35">
            <w:pPr>
              <w:tabs>
                <w:tab w:val="left" w:pos="63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★1、本项目专门面向中小企业采购，本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承接方须为</w:t>
            </w:r>
            <w:r>
              <w:rPr>
                <w:rFonts w:hint="eastAsia" w:ascii="宋体"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小</w:t>
            </w:r>
            <w:r>
              <w:rPr>
                <w:rFonts w:hint="eastAsia" w:ascii="宋体" w:hAnsi="宋体" w:cs="宋体"/>
                <w:color w:val="000000" w:themeColor="text1"/>
                <w:sz w:val="24"/>
                <w:szCs w:val="24"/>
                <w:highlight w:val="none"/>
                <w:lang w:val="en-US" w:eastAsia="zh-CN"/>
                <w14:textFill>
                  <w14:solidFill>
                    <w14:schemeClr w14:val="tx1"/>
                  </w14:solidFill>
                </w14:textFill>
              </w:rPr>
              <w:t>微</w:t>
            </w:r>
            <w:r>
              <w:rPr>
                <w:rFonts w:hint="eastAsia" w:ascii="宋体" w:hAnsi="宋体" w:eastAsia="宋体" w:cs="宋体"/>
                <w:color w:val="000000" w:themeColor="text1"/>
                <w:sz w:val="24"/>
                <w:szCs w:val="24"/>
                <w:highlight w:val="none"/>
                <w14:textFill>
                  <w14:solidFill>
                    <w14:schemeClr w14:val="tx1"/>
                  </w14:solidFill>
                </w14:textFill>
              </w:rPr>
              <w:t>企业，否则其报价将作无效报价处理。</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需提供中小企业声明函，格式详见</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格式。 2、监狱企业、残疾人福利性单位视同小型、微型企业。</w:t>
            </w:r>
          </w:p>
        </w:tc>
      </w:tr>
      <w:tr w14:paraId="2F4C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795B807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FC603A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14:paraId="7C0D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4C3C502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4A667F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9FE6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402B18C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1099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686B53E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D9BF5A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EE4D1C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599ADC4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未按规定的响应截止时间之前提交的，其响应将被拒绝。</w:t>
            </w:r>
          </w:p>
        </w:tc>
      </w:tr>
      <w:tr w14:paraId="2B7A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14DA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04120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70E045C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7A734081">
            <w:pPr>
              <w:pStyle w:val="12"/>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14:paraId="5058D95A">
            <w:pPr>
              <w:pStyle w:val="12"/>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应仔细阅读采购文件的所有内容，按采购文件的要求提供</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应对采购文件的要求作出实质性响应，并保证所提供的全部资料的真实性，否则其</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可被作响应无效处理。</w:t>
            </w:r>
          </w:p>
          <w:p w14:paraId="3B4886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8.2除非有另外的规定，</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应按被邀请参加响应的合同包进行报价，同时，应对所报价合同包下的所有品目号进行报价。采购人不接受有任何可选择性的报价，每一种货物、服务、工程只能有一个报价。</w:t>
            </w:r>
          </w:p>
        </w:tc>
      </w:tr>
      <w:tr w14:paraId="6CDA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00E8F77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A2912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D9A14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68A6825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有效期：</w:t>
            </w:r>
          </w:p>
          <w:p w14:paraId="56FCF7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提交截止之日起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0FA278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被拒绝。</w:t>
            </w:r>
          </w:p>
        </w:tc>
      </w:tr>
      <w:tr w14:paraId="1CD1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675B3E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F47E64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547F4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14D36AC1">
            <w:pPr>
              <w:pStyle w:val="12"/>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12.5 未按要求提交磋商保证金的磋商响应，将被视为无效响应。</w:t>
            </w:r>
          </w:p>
        </w:tc>
      </w:tr>
      <w:tr w14:paraId="3B9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200FBC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8B05C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477D65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34C9372C">
            <w:pPr>
              <w:pStyle w:val="68"/>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字迹模糊不清的，其磋商响应将被拒绝。</w:t>
            </w:r>
          </w:p>
        </w:tc>
      </w:tr>
      <w:tr w14:paraId="6585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11A2170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AB9F0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D2659A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7EB96B47">
            <w:pPr>
              <w:pStyle w:val="68"/>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14.1 </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应将</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正本和副本分别用信封密封，并标明采购文件编号、</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名称、采购项目名称及“正本”或“副本”。</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未密封可导致其磋商被拒绝。</w:t>
            </w:r>
          </w:p>
          <w:p w14:paraId="39895E2E">
            <w:pPr>
              <w:pStyle w:val="68"/>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应在磋商邀请中规定的截止时间前送达，迟到的</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为无效</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，将被拒绝。</w:t>
            </w:r>
          </w:p>
          <w:p w14:paraId="7E49F556">
            <w:pPr>
              <w:pStyle w:val="68"/>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    14.7</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在磋商响应截止期后不得修改、撤回</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在报价截止期后修改</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的，其磋商响应将被拒绝。</w:t>
            </w:r>
          </w:p>
        </w:tc>
      </w:tr>
      <w:tr w14:paraId="4D7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6D395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E3003D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A184B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2B6A57D7">
            <w:pPr>
              <w:pStyle w:val="12"/>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w:t>
            </w:r>
            <w:r>
              <w:rPr>
                <w:rFonts w:hint="default" w:hAnsi="宋体" w:cs="宋体"/>
                <w:b/>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b/>
                <w:color w:val="000000" w:themeColor="text1"/>
                <w:sz w:val="24"/>
                <w:szCs w:val="24"/>
                <w:highlight w:val="none"/>
                <w:lang w:val="en-US" w:eastAsia="zh-CN"/>
                <w14:textFill>
                  <w14:solidFill>
                    <w14:schemeClr w14:val="tx1"/>
                  </w14:solidFill>
                </w14:textFill>
              </w:rPr>
              <w:t>的初审</w:t>
            </w:r>
          </w:p>
          <w:p w14:paraId="4B00B3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任何试图影响磋商小组对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的评审、比较或者推荐候选人的行为，都将导致其磋商响应被拒绝，并被没收磋商保证金。</w:t>
            </w:r>
          </w:p>
          <w:p w14:paraId="78DF2F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17.1磋商小组将对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进行审查，以确定</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 xml:space="preserve">是否完整、有无计算上的错误、是否提交了磋商保证金、文件是否已正确签署。 </w:t>
            </w:r>
          </w:p>
          <w:p w14:paraId="6AF5A3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0FE37DA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中报价一览表内容与</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中明细表内容不一致的，以报价一览表为准。</w:t>
            </w:r>
          </w:p>
          <w:p w14:paraId="08335C9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的大写金额和小写金额不一致的，以大写金额为准；总价金额与按单价汇总金额不一致的，以单价金额计算结果为准；单价金额小数点有明显错位的，应以总价为准，并修改单价；对不同文字文本</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的解释发生异议的，以中文文本为准。</w:t>
            </w:r>
          </w:p>
          <w:p w14:paraId="7D3511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不接受按上述方法对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中的算术错误进行更正，其响应将被拒绝并没收其磋商保证金。</w:t>
            </w:r>
          </w:p>
          <w:p w14:paraId="218A6E2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759F832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详细评估之前，磋商小组将依据</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须知前附表2所述的资格性要求对</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进行资格审查, 以确定其是否具备磋商资格。如果</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不具备磋商资格，不满足采购文件所规定的资格标准或提供资格证明文件不全的, 其磋商响应将被拒绝。</w:t>
            </w:r>
          </w:p>
          <w:p w14:paraId="42F0E5ED">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的竞争地位。对没有实质性响应的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将不进行评估，其响应将按照无效响应处理。凡有下列情况之一者，</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也将被视为未实质性响应采购文件要求：</w:t>
            </w:r>
          </w:p>
          <w:p w14:paraId="007F3B1C">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的法定代表人或其授权代表签字；或未加盖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公章的；或签字人未提供单位有效授权委托书的；</w:t>
            </w:r>
          </w:p>
          <w:p w14:paraId="7DA9985C">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14:paraId="77438E43">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14:paraId="60B4A70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内容与采购文件内容及要求有重大偏离或保留的；</w:t>
            </w:r>
          </w:p>
          <w:p w14:paraId="7C9164E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提交的是可选择的报价；</w:t>
            </w:r>
          </w:p>
          <w:p w14:paraId="60E69DC1">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未按采购文件要求进行分项报价；</w:t>
            </w:r>
          </w:p>
          <w:p w14:paraId="72E91D5C">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中提供虚假或失实资料的；</w:t>
            </w:r>
          </w:p>
          <w:p w14:paraId="7B7ECE9D">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14:paraId="34A6FC2E">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本身的内容，而不寻求其他的外部证据。</w:t>
            </w:r>
          </w:p>
          <w:p w14:paraId="454DD635">
            <w:pPr>
              <w:pStyle w:val="12"/>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提交的</w:t>
            </w:r>
            <w:r>
              <w:rPr>
                <w:rFonts w:hint="default" w:hAnsi="宋体" w:cs="宋体"/>
                <w:color w:val="000000" w:themeColor="text1"/>
                <w:sz w:val="24"/>
                <w:szCs w:val="24"/>
                <w:highlight w:val="none"/>
                <w:lang w:val="en-US" w:eastAsia="zh-CN"/>
                <w14:textFill>
                  <w14:solidFill>
                    <w14:schemeClr w14:val="tx1"/>
                  </w14:solidFill>
                </w14:textFill>
              </w:rPr>
              <w:t>磋商响应文件</w:t>
            </w:r>
            <w:r>
              <w:rPr>
                <w:rFonts w:hint="eastAsia" w:hAnsi="宋体" w:eastAsia="宋体" w:cs="宋体"/>
                <w:color w:val="000000" w:themeColor="text1"/>
                <w:sz w:val="24"/>
                <w:szCs w:val="24"/>
                <w:highlight w:val="none"/>
                <w:lang w:val="en-US" w:eastAsia="zh-CN"/>
                <w14:textFill>
                  <w14:solidFill>
                    <w14:schemeClr w14:val="tx1"/>
                  </w14:solidFill>
                </w14:textFill>
              </w:rPr>
              <w:t>将给予保密，但不予退回。</w:t>
            </w:r>
          </w:p>
          <w:p w14:paraId="66F9D19B">
            <w:pPr>
              <w:pStyle w:val="5"/>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eastAsia="宋体" w:cs="宋体"/>
                <w:color w:val="000000" w:themeColor="text1"/>
                <w:sz w:val="24"/>
                <w:szCs w:val="24"/>
                <w:highlight w:val="none"/>
                <w:lang w:val="en-US" w:eastAsia="zh-CN"/>
                <w14:textFill>
                  <w14:solidFill>
                    <w14:schemeClr w14:val="tx1"/>
                  </w14:solidFill>
                </w14:textFill>
              </w:rPr>
              <w:t>资格和报价产品均必须满足中华人民共和国相关法律法规及行业的强制性要求，否则将作无效响应处理。</w:t>
            </w:r>
          </w:p>
        </w:tc>
      </w:tr>
      <w:tr w14:paraId="7E8C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7F2E2E6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4D48B9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37203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1B6033A9">
            <w:pPr>
              <w:pStyle w:val="12"/>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的报价明显低于其他报价，使得其报价可能低于其个别成本的，有可能影响商品质量或不能诚信履约的，</w:t>
            </w:r>
            <w:r>
              <w:rPr>
                <w:rFonts w:hint="eastAsia" w:hAnsi="宋体" w:cs="宋体"/>
                <w:color w:val="000000" w:themeColor="text1"/>
                <w:sz w:val="24"/>
                <w:szCs w:val="24"/>
                <w:highlight w:val="none"/>
                <w:lang w:val="en-US" w:eastAsia="zh-CN"/>
                <w14:textFill>
                  <w14:solidFill>
                    <w14:schemeClr w14:val="tx1"/>
                  </w14:solidFill>
                </w14:textFill>
              </w:rPr>
              <w:t>供应商</w:t>
            </w:r>
            <w:r>
              <w:rPr>
                <w:rFonts w:hint="eastAsia" w:hAnsi="宋体" w:eastAsia="宋体" w:cs="宋体"/>
                <w:color w:val="000000" w:themeColor="text1"/>
                <w:sz w:val="24"/>
                <w:szCs w:val="24"/>
                <w:highlight w:val="none"/>
                <w:lang w:val="en-US" w:eastAsia="zh-CN"/>
                <w14:textFill>
                  <w14:solidFill>
                    <w14:schemeClr w14:val="tx1"/>
                  </w14:solidFill>
                </w14:textFill>
              </w:rPr>
              <w:t>应按磋商小组要求作出书面说明并提供相关证明材料，不能合理说明或不能提供相关证明材料的，可作无效报价处理。</w:t>
            </w:r>
          </w:p>
        </w:tc>
      </w:tr>
      <w:tr w14:paraId="745F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14CD1D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noWrap w:val="0"/>
            <w:vAlign w:val="top"/>
          </w:tcPr>
          <w:p w14:paraId="664B58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471FD3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2E9DB89C">
            <w:pPr>
              <w:tabs>
                <w:tab w:val="left" w:pos="2145"/>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磋商小组将对采购文件中列明的合格</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应符合“资格性要求”部分做资格审查，没有提供相关证明文件或文件未按规定签署盖章者将导致报价无效。</w:t>
            </w:r>
          </w:p>
        </w:tc>
      </w:tr>
      <w:tr w14:paraId="5391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9EDFA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C9048E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noWrap w:val="0"/>
            <w:vAlign w:val="top"/>
          </w:tcPr>
          <w:p w14:paraId="2F1785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52AC23E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”的条款为关键性条款，如</w:t>
            </w: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对这些关键性条款还存在任何负偏离或不满足将导致报价无效。</w:t>
            </w: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应对采购文件中的“</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”号条款进行逐条响应，否则评审专家对其报价做出不利评审，</w:t>
            </w: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必须自行承担责任。</w:t>
            </w:r>
          </w:p>
        </w:tc>
      </w:tr>
      <w:tr w14:paraId="5B31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CD85E9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02717D7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7166E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25A70A18">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应按照采购文件格式要求在</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bCs/>
                <w:color w:val="000000" w:themeColor="text1"/>
                <w:sz w:val="24"/>
                <w:szCs w:val="24"/>
                <w:highlight w:val="none"/>
                <w14:textFill>
                  <w14:solidFill>
                    <w14:schemeClr w14:val="tx1"/>
                  </w14:solidFill>
                </w14:textFill>
              </w:rPr>
              <w:t>中提供《廉洁</w:t>
            </w:r>
            <w:r>
              <w:rPr>
                <w:rFonts w:hint="eastAsia" w:ascii="宋体" w:hAnsi="宋体" w:cs="宋体"/>
                <w:bCs/>
                <w:color w:val="000000" w:themeColor="text1"/>
                <w:sz w:val="24"/>
                <w:szCs w:val="24"/>
                <w:highlight w:val="none"/>
                <w:lang w:eastAsia="zh-CN"/>
                <w14:textFill>
                  <w14:solidFill>
                    <w14:schemeClr w14:val="tx1"/>
                  </w14:solidFill>
                </w14:textFill>
              </w:rPr>
              <w:t>书面承诺（格式自拟）</w:t>
            </w:r>
            <w:r>
              <w:rPr>
                <w:rFonts w:hint="eastAsia" w:ascii="宋体" w:hAnsi="宋体" w:eastAsia="宋体" w:cs="宋体"/>
                <w:bCs/>
                <w:color w:val="000000" w:themeColor="text1"/>
                <w:sz w:val="24"/>
                <w:szCs w:val="24"/>
                <w:highlight w:val="none"/>
                <w14:textFill>
                  <w14:solidFill>
                    <w14:schemeClr w14:val="tx1"/>
                  </w14:solidFill>
                </w14:textFill>
              </w:rPr>
              <w:t>》原件（</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为联合体的，联合体各方均应提供《廉洁</w:t>
            </w:r>
            <w:r>
              <w:rPr>
                <w:rFonts w:hint="eastAsia" w:ascii="宋体" w:hAnsi="宋体" w:cs="宋体"/>
                <w:bCs/>
                <w:color w:val="000000" w:themeColor="text1"/>
                <w:sz w:val="24"/>
                <w:szCs w:val="24"/>
                <w:highlight w:val="none"/>
                <w:lang w:eastAsia="zh-CN"/>
                <w14:textFill>
                  <w14:solidFill>
                    <w14:schemeClr w14:val="tx1"/>
                  </w14:solidFill>
                </w14:textFill>
              </w:rPr>
              <w:t>书面承诺（格式自拟）</w:t>
            </w:r>
            <w:r>
              <w:rPr>
                <w:rFonts w:hint="eastAsia" w:ascii="宋体" w:hAnsi="宋体" w:eastAsia="宋体" w:cs="宋体"/>
                <w:bCs/>
                <w:color w:val="000000" w:themeColor="text1"/>
                <w:sz w:val="24"/>
                <w:szCs w:val="24"/>
                <w:highlight w:val="none"/>
                <w14:textFill>
                  <w14:solidFill>
                    <w14:schemeClr w14:val="tx1"/>
                  </w14:solidFill>
                </w14:textFill>
              </w:rPr>
              <w:t>》原件），否则作无效报价处理。</w:t>
            </w:r>
          </w:p>
        </w:tc>
      </w:tr>
      <w:tr w14:paraId="0C8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2F955FEA">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05F2AE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6E9DF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34FCEC2A">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r w14:paraId="6330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15259A42">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9C0C0B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25DAB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0E087AE9">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63C895B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CD38F10">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9C6C52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0C0033E">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890D1F8">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21F3FD48">
      <w:pPr>
        <w:spacing w:line="360" w:lineRule="auto"/>
        <w:ind w:left="0" w:firstLine="0" w:firstLineChars="0"/>
        <w:rPr>
          <w:rStyle w:val="27"/>
          <w:rFonts w:hint="eastAsia" w:ascii="宋体" w:hAnsi="宋体" w:eastAsia="宋体" w:cs="宋体"/>
          <w:bCs w:val="0"/>
          <w:color w:val="000000" w:themeColor="text1"/>
          <w:sz w:val="24"/>
          <w:szCs w:val="24"/>
          <w:highlight w:val="none"/>
          <w14:textFill>
            <w14:solidFill>
              <w14:schemeClr w14:val="tx1"/>
            </w14:solidFill>
          </w14:textFill>
        </w:rPr>
      </w:pPr>
    </w:p>
    <w:p w14:paraId="036FEFC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24958A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FD840F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BE3FA4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9ADF37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8D2F6A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42BC9F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A62A3A3">
      <w:pPr>
        <w:pStyle w:val="78"/>
        <w:widowControl/>
        <w:shd w:val="clear" w:color="auto" w:fill="FFFFFF"/>
        <w:spacing w:before="270" w:after="270" w:line="450" w:lineRule="atLeast"/>
        <w:ind w:left="1200" w:right="1200" w:firstLine="54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★号条款汇总表</w:t>
      </w:r>
    </w:p>
    <w:tbl>
      <w:tblPr>
        <w:tblStyle w:val="79"/>
        <w:tblW w:w="5252" w:type="pct"/>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7"/>
        <w:gridCol w:w="7756"/>
      </w:tblGrid>
      <w:tr w14:paraId="1213E4E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2D869CCC">
            <w:pPr>
              <w:widowControl/>
              <w:spacing w:line="450" w:lineRule="atLeas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0E3B786A">
            <w:pPr>
              <w:widowControl/>
              <w:spacing w:line="450" w:lineRule="atLeas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条款描述</w:t>
            </w:r>
          </w:p>
        </w:tc>
      </w:tr>
      <w:tr w14:paraId="118AD53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081403B5">
            <w:pPr>
              <w:widowControl/>
              <w:spacing w:line="450" w:lineRule="atLeast"/>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19FB7D99">
            <w:pPr>
              <w:widowControl/>
              <w:spacing w:line="450" w:lineRule="atLeas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★1、本项目专门面向中小企业采购，本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承接方须为</w:t>
            </w:r>
            <w:r>
              <w:rPr>
                <w:rFonts w:hint="eastAsia" w:ascii="宋体"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小</w:t>
            </w:r>
            <w:r>
              <w:rPr>
                <w:rFonts w:hint="eastAsia" w:ascii="宋体" w:hAnsi="宋体" w:cs="宋体"/>
                <w:color w:val="000000" w:themeColor="text1"/>
                <w:sz w:val="24"/>
                <w:szCs w:val="24"/>
                <w:highlight w:val="none"/>
                <w:lang w:val="en-US" w:eastAsia="zh-CN"/>
                <w14:textFill>
                  <w14:solidFill>
                    <w14:schemeClr w14:val="tx1"/>
                  </w14:solidFill>
                </w14:textFill>
              </w:rPr>
              <w:t>微</w:t>
            </w:r>
            <w:r>
              <w:rPr>
                <w:rFonts w:hint="eastAsia" w:ascii="宋体" w:hAnsi="宋体" w:eastAsia="宋体" w:cs="宋体"/>
                <w:color w:val="000000" w:themeColor="text1"/>
                <w:sz w:val="24"/>
                <w:szCs w:val="24"/>
                <w:highlight w:val="none"/>
                <w14:textFill>
                  <w14:solidFill>
                    <w14:schemeClr w14:val="tx1"/>
                  </w14:solidFill>
                </w14:textFill>
              </w:rPr>
              <w:t>企业，否则其报价将作无效报价处理。</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需提供中小企业声明函，格式详见</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格式。 2、监狱企业、残疾人福利性单位视同小型、微型企业。</w:t>
            </w:r>
          </w:p>
        </w:tc>
      </w:tr>
      <w:tr w14:paraId="3A2AF5E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69BB3F7F">
            <w:pPr>
              <w:pStyle w:val="78"/>
              <w:widowControl/>
              <w:spacing w:before="270" w:after="270" w:line="450" w:lineRule="atLeast"/>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5EF4FA7D">
            <w:pPr>
              <w:pStyle w:val="78"/>
              <w:widowControl/>
              <w:spacing w:before="270" w:after="270" w:line="450" w:lineRule="atLeast"/>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除不可抗力外，成交供应商如果不能达到上述2.1～2.4款的总体要求，采购人则有权单方面终止委托合同的履行，成交供应商应向采购人支付违约金，违约金的金额为终止前三个月的运行管理及维修费总额，供应商须对此进行</w:t>
            </w:r>
            <w:r>
              <w:rPr>
                <w:rFonts w:hint="eastAsia" w:ascii="宋体" w:hAnsi="宋体" w:cs="宋体"/>
                <w:color w:val="000000" w:themeColor="text1"/>
                <w:kern w:val="0"/>
                <w:sz w:val="24"/>
                <w:szCs w:val="24"/>
                <w:highlight w:val="none"/>
                <w:lang w:eastAsia="zh-CN"/>
                <w14:textFill>
                  <w14:solidFill>
                    <w14:schemeClr w14:val="tx1"/>
                  </w14:solidFill>
                </w14:textFill>
              </w:rPr>
              <w:t>作出书面承诺（格式自拟）并加盖单位公章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7606C2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76C334FA">
            <w:pPr>
              <w:pStyle w:val="78"/>
              <w:widowControl/>
              <w:spacing w:before="270" w:after="270" w:line="450" w:lineRule="atLeast"/>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3B1243E2">
            <w:pPr>
              <w:pStyle w:val="78"/>
              <w:widowControl/>
              <w:spacing w:before="270" w:after="270" w:line="450" w:lineRule="atLeast"/>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采购人发现一次虚假监测数据，扣10000元；造假情况包括但不限于未经采购人书面许可修改设备运行过程参数或数采仪设置等，一旦发现立即终止与成交供应商的服务合同、依法追究相关责任，并永久列入本单位采购黑名单，由此给采购人带来的损失由成交供应商承担。</w:t>
            </w:r>
            <w:r>
              <w:rPr>
                <w:rFonts w:hint="eastAsia" w:ascii="宋体" w:hAnsi="宋体" w:cs="宋体"/>
                <w:color w:val="000000" w:themeColor="text1"/>
                <w:kern w:val="0"/>
                <w:sz w:val="24"/>
                <w:szCs w:val="24"/>
                <w:highlight w:val="none"/>
                <w:lang w:eastAsia="zh-CN"/>
                <w14:textFill>
                  <w14:solidFill>
                    <w14:schemeClr w14:val="tx1"/>
                  </w14:solidFill>
                </w14:textFill>
              </w:rPr>
              <w:t>供应商须对此作出书面承诺（格式自拟）并加盖单位公章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4AD8A79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7739F574">
            <w:pPr>
              <w:pStyle w:val="78"/>
              <w:widowControl/>
              <w:spacing w:before="270" w:after="270" w:line="450" w:lineRule="atLeast"/>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4225A6B2">
            <w:pPr>
              <w:pStyle w:val="78"/>
              <w:widowControl/>
              <w:spacing w:before="270" w:after="270" w:line="450" w:lineRule="atLeast"/>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空气自动监测子站中土建部分（包括站房、电、防雷设施等）的所有物品或部件和所有仪器设备（仪表、UPS、仪器防雷设施等）及数据传输软件升级维护皆为维修维保范围，所有物品、部件、仪器、设备、软件的故障、损坏皆由成交供应商负责维修或更换，耗品耗材和备品备件由成交供应商采购。由于保管不善和使用不当造成仪器损毁的，成交供应商负责购买零部件并维修好仪器，无法修复的应更换新机；对于负有责任的个人，应终止该人的运营资格退回公司；成交供应商除免费修复仪器外，每站次扣除2000元。因差分光谱仪器仪表老化造成仪器故障需更换零部件的，成交供应商需报采购人确认后购买并维修好仪器，成交供应商负责所有维修费用（包括厂家技术人员差旅费、服务费等），零部件费用经确认后由采购人支付，同时收回所更换的部件。</w:t>
            </w:r>
            <w:r>
              <w:rPr>
                <w:rFonts w:hint="eastAsia" w:ascii="宋体" w:hAnsi="宋体" w:cs="宋体"/>
                <w:color w:val="000000" w:themeColor="text1"/>
                <w:kern w:val="0"/>
                <w:sz w:val="24"/>
                <w:szCs w:val="24"/>
                <w:highlight w:val="none"/>
                <w:lang w:eastAsia="zh-CN"/>
                <w14:textFill>
                  <w14:solidFill>
                    <w14:schemeClr w14:val="tx1"/>
                  </w14:solidFill>
                </w14:textFill>
              </w:rPr>
              <w:t>供应商须对此作出书面承诺（格式自拟）并加盖单位公章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4A81781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5B570227">
            <w:pPr>
              <w:pStyle w:val="78"/>
              <w:widowControl/>
              <w:spacing w:before="270" w:after="270" w:line="450" w:lineRule="atLeast"/>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433D951E">
            <w:pPr>
              <w:pStyle w:val="78"/>
              <w:widowControl/>
              <w:spacing w:before="270" w:after="270" w:line="450" w:lineRule="atLeast"/>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10.3★自动监测子站相关设备出现故障，电话响应时间为1小时；一般故障现场维修响应时间为2小时之内，要求及时调查并找出故障原因；48小时内修复或更换有故障的设备，恢复正常运行状态，能够连通并正常上传数据；通信中断，数据传不到环境自动监测的点位，要赴点位现场维护，并及时联系通信公司协助解决通信故障。采购人可委托其它单位或人员修理，所发生的费用从成交供应商维修费内扣除。</w:t>
            </w:r>
            <w:r>
              <w:rPr>
                <w:rFonts w:hint="eastAsia" w:ascii="宋体" w:hAnsi="宋体" w:cs="宋体"/>
                <w:color w:val="000000" w:themeColor="text1"/>
                <w:kern w:val="0"/>
                <w:sz w:val="24"/>
                <w:szCs w:val="24"/>
                <w:highlight w:val="none"/>
                <w:lang w:eastAsia="zh-CN"/>
                <w14:textFill>
                  <w14:solidFill>
                    <w14:schemeClr w14:val="tx1"/>
                  </w14:solidFill>
                </w14:textFill>
              </w:rPr>
              <w:t>供应商须对此作出书面承诺（格式自拟）并加盖单位公章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6248919B">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2FA7C23B">
            <w:pPr>
              <w:pStyle w:val="78"/>
              <w:widowControl/>
              <w:spacing w:before="270" w:after="270" w:line="450" w:lineRule="atLeast"/>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56FA8160">
            <w:pPr>
              <w:pStyle w:val="78"/>
              <w:widowControl/>
              <w:spacing w:before="270" w:after="270" w:line="450" w:lineRule="atLeast"/>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10.6★在运维服务期内，成交供应商应委派至少1个全职人员和1台车辆用于开展现场工作。</w:t>
            </w:r>
            <w:r>
              <w:rPr>
                <w:rFonts w:hint="eastAsia" w:ascii="宋体" w:hAnsi="宋体" w:cs="宋体"/>
                <w:color w:val="000000" w:themeColor="text1"/>
                <w:kern w:val="0"/>
                <w:sz w:val="24"/>
                <w:szCs w:val="24"/>
                <w:highlight w:val="none"/>
                <w:lang w:eastAsia="zh-CN"/>
                <w14:textFill>
                  <w14:solidFill>
                    <w14:schemeClr w14:val="tx1"/>
                  </w14:solidFill>
                </w14:textFill>
              </w:rPr>
              <w:t>供应商须对此作出书面承诺（格式自拟）并加盖单位公章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6DC3A17B">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21"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675A246C">
            <w:pPr>
              <w:pStyle w:val="78"/>
              <w:widowControl/>
              <w:spacing w:before="270" w:after="270" w:line="450" w:lineRule="atLeast"/>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p>
        </w:tc>
        <w:tc>
          <w:tcPr>
            <w:tcW w:w="4278" w:type="pct"/>
            <w:tcBorders>
              <w:top w:val="inset" w:color="808080" w:sz="6" w:space="0"/>
              <w:left w:val="inset" w:color="808080" w:sz="6" w:space="0"/>
              <w:bottom w:val="inset" w:color="808080" w:sz="6" w:space="0"/>
              <w:right w:val="inset" w:color="808080" w:sz="6" w:space="0"/>
            </w:tcBorders>
            <w:shd w:val="clear" w:color="auto" w:fill="FFFFFF"/>
            <w:noWrap w:val="0"/>
            <w:tcMar>
              <w:top w:w="112" w:type="dxa"/>
              <w:left w:w="158" w:type="dxa"/>
              <w:bottom w:w="112" w:type="dxa"/>
              <w:right w:w="158" w:type="dxa"/>
            </w:tcMar>
            <w:vAlign w:val="center"/>
          </w:tcPr>
          <w:p w14:paraId="3CF7EEBD">
            <w:pPr>
              <w:pStyle w:val="78"/>
              <w:widowControl/>
              <w:spacing w:before="270" w:after="270" w:line="450" w:lineRule="atLeast"/>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15.4★本次采购为包干制，总价为承包运维期限内的所有费用，应包括且不限于耗材、易耗件、备品备件、子站电费、子站租金、交通费、维修费、保险费、税费、人工费等所有与完成本项目有关的费用。采购人不接受有选择性的报价。供应商一旦成交，除成交金额外，采购人将不会支付其他任何费用，供应商须对此进行</w:t>
            </w:r>
            <w:r>
              <w:rPr>
                <w:rFonts w:hint="eastAsia" w:ascii="宋体" w:hAnsi="宋体" w:cs="宋体"/>
                <w:color w:val="000000" w:themeColor="text1"/>
                <w:kern w:val="0"/>
                <w:sz w:val="24"/>
                <w:szCs w:val="24"/>
                <w:highlight w:val="none"/>
                <w:lang w:eastAsia="zh-CN"/>
                <w14:textFill>
                  <w14:solidFill>
                    <w14:schemeClr w14:val="tx1"/>
                  </w14:solidFill>
                </w14:textFill>
              </w:rPr>
              <w:t>作出书面承诺（格式自拟）并加盖单位公章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w:t>
            </w:r>
          </w:p>
        </w:tc>
      </w:tr>
    </w:tbl>
    <w:p w14:paraId="5B99C1A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FF67C6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97BDFD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D07701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9FC6D9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5991C8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15FBE9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640D02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26BF74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A67200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318CC5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455009D">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32"/>
          <w:szCs w:val="32"/>
          <w:highlight w:val="none"/>
          <w:u w:val="single"/>
          <w:lang w:eastAsia="zh-CN"/>
          <w14:textFill>
            <w14:solidFill>
              <w14:schemeClr w14:val="tx1"/>
            </w14:solidFill>
          </w14:textFill>
        </w:rPr>
        <w:t>供应商</w:t>
      </w:r>
      <w:r>
        <w:rPr>
          <w:rFonts w:hint="eastAsia" w:ascii="宋体" w:hAnsi="宋体" w:eastAsia="宋体" w:cs="宋体"/>
          <w:b/>
          <w:color w:val="000000" w:themeColor="text1"/>
          <w:sz w:val="32"/>
          <w:szCs w:val="32"/>
          <w:highlight w:val="none"/>
          <w:u w:val="single"/>
          <w14:textFill>
            <w14:solidFill>
              <w14:schemeClr w14:val="tx1"/>
            </w14:solidFill>
          </w14:textFill>
        </w:rPr>
        <w:t>须知前附表3：磋商规则、评审标准</w:t>
      </w:r>
    </w:p>
    <w:tbl>
      <w:tblPr>
        <w:tblStyle w:val="2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29A9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34C18521">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一、磋商规则:</w:t>
            </w:r>
          </w:p>
          <w:p w14:paraId="69FBF06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1.采购代理机构按有关规定编制采购文件，组建磋商小组。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按照采购文件规定提交</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386F8425">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2.磋商小组对</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进行资格性和符合性审查，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不符合资格性及符合性条款和“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”条款要求，不进入磋商程序；磋商小组在对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的有效性、完整性和响应程度进行审查时，可以要求</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中含义不明确、同类问题表述不一致或者有明显文字和计算错误的内容等作出必要的澄清、说明或者更正。</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需以书面形式作出澄清、说明或者更正，但澄清、说明或者更正不得超出</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的范围或者改变</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的实质性内容，同时也不接受</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主动澄清。符合实质性响应要求的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进入磋商程序。 </w:t>
            </w:r>
          </w:p>
          <w:p w14:paraId="108787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磋商小组所有成员应当集中与单一</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分别进行磋商，磋商顺序采用随机抽取的方法确认。</w:t>
            </w:r>
          </w:p>
          <w:p w14:paraId="60216A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4.磋商小组对采购文件和</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提出重点的磋商内容，根据采购文件及有关规定，磋商小组与进入磋商程序的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进行一轮或多轮磋商。</w:t>
            </w:r>
          </w:p>
          <w:p w14:paraId="38FD2CF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下一轮磋商时间。</w:t>
            </w:r>
          </w:p>
          <w:p w14:paraId="7945AFD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282859CF">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25D4D551">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递交的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澄清、更正等文件、最终报价应予密封并交至采购代理机构指定人员，报价部分单独密封。采购代理机构工作人员在收齐全部</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材料后，统一送达磋商小组。</w:t>
            </w:r>
          </w:p>
          <w:p w14:paraId="6E57CDE7">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9.经磋商确定最终采购需求和提交最后报价的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后，由磋商小组采用综合评分法对提交最后报价的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和最后报价进行综合评分。</w:t>
            </w:r>
          </w:p>
          <w:p w14:paraId="3BCFFDA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10.参加磋商并代表</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签署</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的应该是采购文件要求的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代表，磋商时应出示身份证原件。</w:t>
            </w:r>
          </w:p>
          <w:p w14:paraId="324A63FA">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65EB8D3C">
            <w:pPr>
              <w:spacing w:line="360" w:lineRule="auto"/>
              <w:ind w:left="55" w:leftChars="26" w:right="-120" w:rightChars="-57"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确定候选供应商原则</w:t>
            </w:r>
            <w:r>
              <w:rPr>
                <w:rFonts w:hint="eastAsia" w:ascii="宋体" w:hAnsi="宋体" w:eastAsia="宋体" w:cs="宋体"/>
                <w:color w:val="000000" w:themeColor="text1"/>
                <w:sz w:val="24"/>
                <w:szCs w:val="24"/>
                <w:highlight w:val="none"/>
                <w14:textFill>
                  <w14:solidFill>
                    <w14:schemeClr w14:val="tx1"/>
                  </w14:solidFill>
                </w14:textFill>
              </w:rPr>
              <w:t>：</w:t>
            </w:r>
          </w:p>
          <w:p w14:paraId="4D034F1E">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A.磋商小组采用综合评分的方法确定成交候选供应商，磋商小组按照：综合评分由高到低的顺序</w:t>
            </w:r>
            <w:r>
              <w:rPr>
                <w:rFonts w:hint="eastAsia" w:ascii="宋体" w:hAnsi="宋体" w:eastAsia="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 xml:space="preserve">综合得分相同的，按照最后报价由低到高的顺序排列；综合得分相同且报价相同的，按技术得分顺序排列。综合得分相同且报价相同且技术得分相同的，由磋商小组投票表决。 </w:t>
            </w:r>
          </w:p>
          <w:p w14:paraId="3FE009BB">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成交候选供应商的数量≥3个；</w:t>
            </w:r>
          </w:p>
          <w:p w14:paraId="2B85EEA8">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14:paraId="76D5AC3A">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.采用竞争性磋商采购方式的政府购买服务项目，在采购过程中符合要求的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只有2家的，竞争性磋商采购活动可以继续进行。采购过程中符合要求的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只有1家的，应当终止竞争性采购活动，发布终止公告并说明原因，重新开展采购活动。 </w:t>
            </w:r>
          </w:p>
        </w:tc>
      </w:tr>
      <w:tr w14:paraId="6BE2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6F23BFA6">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二、磋商可能实质性变动的内容：</w:t>
            </w:r>
          </w:p>
          <w:p w14:paraId="45F21AF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03463552">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2.采购需求服务内容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37F23511">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14:paraId="5ADB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0E69B03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三、磋商评审标准：具体见附件</w:t>
            </w:r>
          </w:p>
          <w:p w14:paraId="69B0399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14:paraId="1882F719">
            <w:pPr>
              <w:spacing w:line="360" w:lineRule="auto"/>
              <w:ind w:right="-40" w:rightChars="-1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eastAsia="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14:paraId="2FDC85A0">
      <w:pPr>
        <w:spacing w:line="360" w:lineRule="auto"/>
        <w:jc w:val="left"/>
        <w:outlineLvl w:val="0"/>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p>
    <w:p w14:paraId="03307174">
      <w:pPr>
        <w:pStyle w:val="3"/>
        <w:keepNext w:val="0"/>
        <w:keepLines w:val="0"/>
        <w:tabs>
          <w:tab w:val="center" w:pos="4365"/>
        </w:tabs>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EEA0AFA">
      <w:pPr>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附件：磋商评审标准</w:t>
      </w:r>
    </w:p>
    <w:p w14:paraId="19038755">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综合评分法：</w:t>
      </w:r>
      <w:r>
        <w:rPr>
          <w:rFonts w:hint="eastAsia" w:ascii="宋体" w:hAnsi="宋体" w:eastAsia="宋体" w:cs="宋体"/>
          <w:color w:val="000000" w:themeColor="text1"/>
          <w:sz w:val="24"/>
          <w:szCs w:val="24"/>
          <w:highlight w:val="none"/>
          <w14:textFill>
            <w14:solidFill>
              <w14:schemeClr w14:val="tx1"/>
            </w14:solidFill>
          </w14:textFill>
        </w:rPr>
        <w:t>综合得分= F1 + F2 + F3</w:t>
      </w:r>
    </w:p>
    <w:p w14:paraId="6F786ED7">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（一）技术评分（F1）标准（满分</w:t>
      </w:r>
      <w:r>
        <w:rPr>
          <w:rFonts w:hint="eastAsia" w:ascii="宋体" w:hAnsi="宋体" w:cs="宋体"/>
          <w:b/>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b/>
          <w:color w:val="000000" w:themeColor="text1"/>
          <w:sz w:val="24"/>
          <w:szCs w:val="24"/>
          <w:highlight w:val="none"/>
          <w14:textFill>
            <w14:solidFill>
              <w14:schemeClr w14:val="tx1"/>
            </w14:solidFill>
          </w14:textFill>
        </w:rPr>
        <w:t>分）：</w:t>
      </w:r>
    </w:p>
    <w:tbl>
      <w:tblPr>
        <w:tblStyle w:val="25"/>
        <w:tblW w:w="8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7343"/>
        <w:gridCol w:w="683"/>
      </w:tblGrid>
      <w:tr w14:paraId="5454C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059B7D9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w:t>
            </w:r>
          </w:p>
          <w:p w14:paraId="72B02DF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343" w:type="dxa"/>
            <w:noWrap w:val="0"/>
            <w:vAlign w:val="center"/>
          </w:tcPr>
          <w:p w14:paraId="414C705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评标方法描述</w:t>
            </w:r>
          </w:p>
        </w:tc>
        <w:tc>
          <w:tcPr>
            <w:tcW w:w="683" w:type="dxa"/>
            <w:noWrap w:val="0"/>
            <w:vAlign w:val="center"/>
          </w:tcPr>
          <w:p w14:paraId="2A8744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w:t>
            </w:r>
          </w:p>
          <w:p w14:paraId="3EC0FA0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r>
      <w:tr w14:paraId="11D37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6C972C7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-1</w:t>
            </w:r>
          </w:p>
        </w:tc>
        <w:tc>
          <w:tcPr>
            <w:tcW w:w="7343" w:type="dxa"/>
            <w:noWrap w:val="0"/>
            <w:vAlign w:val="center"/>
          </w:tcPr>
          <w:p w14:paraId="26CACBD2">
            <w:pPr>
              <w:pStyle w:val="78"/>
              <w:widowControl/>
              <w:spacing w:before="270" w:after="270" w:line="450" w:lineRule="atLeast"/>
              <w:ind w:left="0" w:leftChars="0" w:right="0" w:right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根据供应商对采购文件第</w:t>
            </w:r>
            <w:r>
              <w:rPr>
                <w:rFonts w:hint="eastAsia" w:ascii="宋体" w:hAnsi="宋体" w:cs="宋体"/>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0"/>
                <w:sz w:val="24"/>
                <w:szCs w:val="24"/>
                <w:highlight w:val="none"/>
                <w14:textFill>
                  <w14:solidFill>
                    <w14:schemeClr w14:val="tx1"/>
                  </w14:solidFill>
                </w14:textFill>
              </w:rPr>
              <w:t>章“</w:t>
            </w:r>
            <w:r>
              <w:rPr>
                <w:rFonts w:hint="eastAsia" w:ascii="宋体" w:hAnsi="宋体" w:cs="宋体"/>
                <w:color w:val="000000" w:themeColor="text1"/>
                <w:kern w:val="0"/>
                <w:sz w:val="24"/>
                <w:szCs w:val="24"/>
                <w:highlight w:val="none"/>
                <w14:textFill>
                  <w14:solidFill>
                    <w14:schemeClr w14:val="tx1"/>
                  </w14:solidFill>
                </w14:textFill>
              </w:rPr>
              <w:t>磋商内容及要求</w:t>
            </w:r>
            <w:r>
              <w:rPr>
                <w:rFonts w:hint="eastAsia" w:ascii="宋体" w:hAnsi="宋体" w:eastAsia="宋体" w:cs="宋体"/>
                <w:color w:val="000000" w:themeColor="text1"/>
                <w:kern w:val="0"/>
                <w:sz w:val="24"/>
                <w:szCs w:val="24"/>
                <w:highlight w:val="none"/>
                <w14:textFill>
                  <w14:solidFill>
                    <w14:schemeClr w14:val="tx1"/>
                  </w14:solidFill>
                </w14:textFill>
              </w:rPr>
              <w:t>”中带“▲”条款（共5项）的响应情况由评审小组进行评分：每满足1项得3分，满分15分。注：供应商须提供技术服务</w:t>
            </w:r>
            <w:r>
              <w:rPr>
                <w:rFonts w:hint="eastAsia" w:ascii="宋体" w:hAnsi="宋体" w:cs="宋体"/>
                <w:color w:val="000000" w:themeColor="text1"/>
                <w:kern w:val="0"/>
                <w:sz w:val="24"/>
                <w:szCs w:val="24"/>
                <w:highlight w:val="none"/>
                <w:lang w:val="en-US" w:eastAsia="zh-CN"/>
                <w14:textFill>
                  <w14:solidFill>
                    <w14:schemeClr w14:val="tx1"/>
                  </w14:solidFill>
                </w14:textFill>
              </w:rPr>
              <w:t>要求</w:t>
            </w:r>
            <w:r>
              <w:rPr>
                <w:rFonts w:hint="eastAsia" w:ascii="宋体" w:hAnsi="宋体" w:eastAsia="宋体" w:cs="宋体"/>
                <w:color w:val="000000" w:themeColor="text1"/>
                <w:kern w:val="0"/>
                <w:sz w:val="24"/>
                <w:szCs w:val="24"/>
                <w:highlight w:val="none"/>
                <w14:textFill>
                  <w14:solidFill>
                    <w14:schemeClr w14:val="tx1"/>
                  </w14:solidFill>
                </w14:textFill>
              </w:rPr>
              <w:t>响应情况表，并标明对应的偏离情况，因编排错乱或响应不完整而导致的不利评审由供应商自行承担。</w:t>
            </w:r>
          </w:p>
        </w:tc>
        <w:tc>
          <w:tcPr>
            <w:tcW w:w="683" w:type="dxa"/>
            <w:noWrap w:val="0"/>
            <w:vAlign w:val="center"/>
          </w:tcPr>
          <w:p w14:paraId="1B8E6F0E">
            <w:pPr>
              <w:pStyle w:val="78"/>
              <w:widowControl/>
              <w:spacing w:before="270" w:after="270" w:line="450" w:lineRule="atLeast"/>
              <w:ind w:left="0" w:leftChars="0" w:right="0" w:rightChars="0"/>
              <w:jc w:val="left"/>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r>
      <w:tr w14:paraId="72C20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782" w:type="dxa"/>
            <w:noWrap w:val="0"/>
            <w:vAlign w:val="center"/>
          </w:tcPr>
          <w:p w14:paraId="1283FAB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w:t>
            </w:r>
          </w:p>
        </w:tc>
        <w:tc>
          <w:tcPr>
            <w:tcW w:w="7343" w:type="dxa"/>
            <w:noWrap w:val="0"/>
            <w:vAlign w:val="center"/>
          </w:tcPr>
          <w:p w14:paraId="4CF14E1D">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w:t>
            </w:r>
            <w:r>
              <w:rPr>
                <w:rFonts w:hint="eastAsia" w:ascii="宋体" w:hAnsi="宋体" w:cs="宋体"/>
                <w:color w:val="000000" w:themeColor="text1"/>
                <w:kern w:val="0"/>
                <w:sz w:val="24"/>
                <w:szCs w:val="24"/>
                <w:highlight w:val="none"/>
                <w14:textFill>
                  <w14:solidFill>
                    <w14:schemeClr w14:val="tx1"/>
                  </w14:solidFill>
                </w14:textFill>
              </w:rPr>
              <w:t>运行管理</w:t>
            </w:r>
            <w:r>
              <w:rPr>
                <w:rFonts w:hint="eastAsia" w:ascii="宋体" w:hAnsi="宋体" w:eastAsia="宋体" w:cs="宋体"/>
                <w:color w:val="000000" w:themeColor="text1"/>
                <w:kern w:val="0"/>
                <w:sz w:val="24"/>
                <w:szCs w:val="24"/>
                <w:highlight w:val="none"/>
                <w14:textFill>
                  <w14:solidFill>
                    <w14:schemeClr w14:val="tx1"/>
                  </w14:solidFill>
                </w14:textFill>
              </w:rPr>
              <w:t>服务方案进行评价： ①方案包含工作内容及相应措施的得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 ②在满足①基础上，根据项目需求情况提出详细具体的工作流程和工作目标，有对应的人员安排和工作进度安排的得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 ③未提供相关方案阐述或方案阐述内容不符合上述标准的不得分。</w:t>
            </w:r>
          </w:p>
        </w:tc>
        <w:tc>
          <w:tcPr>
            <w:tcW w:w="683" w:type="dxa"/>
            <w:noWrap w:val="0"/>
            <w:vAlign w:val="center"/>
          </w:tcPr>
          <w:p w14:paraId="160B904E">
            <w:pPr>
              <w:pStyle w:val="78"/>
              <w:widowControl/>
              <w:spacing w:before="270" w:after="270" w:line="450" w:lineRule="atLeast"/>
              <w:ind w:left="0" w:leftChars="0" w:right="0" w:rightChars="0"/>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p>
        </w:tc>
      </w:tr>
      <w:tr w14:paraId="6FC2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7C8DA00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-3</w:t>
            </w:r>
          </w:p>
        </w:tc>
        <w:tc>
          <w:tcPr>
            <w:tcW w:w="7343" w:type="dxa"/>
            <w:noWrap w:val="0"/>
            <w:vAlign w:val="center"/>
          </w:tcPr>
          <w:p w14:paraId="2BCFCCFA">
            <w:pPr>
              <w:pStyle w:val="78"/>
              <w:widowControl/>
              <w:spacing w:before="270" w:after="270" w:line="450" w:lineRule="atLeast"/>
              <w:ind w:left="0" w:leftChars="0" w:right="0" w:right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w:t>
            </w:r>
            <w:r>
              <w:rPr>
                <w:rFonts w:hint="eastAsia" w:ascii="宋体" w:hAnsi="宋体" w:cs="宋体"/>
                <w:color w:val="000000" w:themeColor="text1"/>
                <w:sz w:val="24"/>
                <w:szCs w:val="24"/>
                <w:highlight w:val="none"/>
                <w14:textFill>
                  <w14:solidFill>
                    <w14:schemeClr w14:val="tx1"/>
                  </w14:solidFill>
                </w14:textFill>
              </w:rPr>
              <w:t>维护维修</w:t>
            </w:r>
            <w:r>
              <w:rPr>
                <w:rFonts w:hint="eastAsia" w:ascii="宋体" w:hAnsi="宋体" w:eastAsia="宋体" w:cs="宋体"/>
                <w:color w:val="000000" w:themeColor="text1"/>
                <w:kern w:val="0"/>
                <w:sz w:val="24"/>
                <w:szCs w:val="24"/>
                <w:highlight w:val="none"/>
                <w14:textFill>
                  <w14:solidFill>
                    <w14:schemeClr w14:val="tx1"/>
                  </w14:solidFill>
                </w14:textFill>
              </w:rPr>
              <w:t>方案进行评价： ①方案包含工作内容及相应措施的得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分；②在满足①基础上，根据项目需求情况提出详细具体的工作流程和工作目标，有对应的人员安排和工作进度安排的得</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 ③未提供相关方案阐述或方案阐述内容不符合上述标准的不得分。</w:t>
            </w:r>
          </w:p>
        </w:tc>
        <w:tc>
          <w:tcPr>
            <w:tcW w:w="683" w:type="dxa"/>
            <w:noWrap w:val="0"/>
            <w:vAlign w:val="center"/>
          </w:tcPr>
          <w:p w14:paraId="42D6A288">
            <w:pPr>
              <w:pStyle w:val="78"/>
              <w:widowControl/>
              <w:spacing w:before="270" w:after="270" w:line="450" w:lineRule="atLeast"/>
              <w:ind w:left="0" w:leftChars="0" w:right="0" w:right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r>
      <w:tr w14:paraId="050E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752C3224">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p>
        </w:tc>
        <w:tc>
          <w:tcPr>
            <w:tcW w:w="7343" w:type="dxa"/>
            <w:noWrap w:val="0"/>
            <w:vAlign w:val="center"/>
          </w:tcPr>
          <w:p w14:paraId="7CF41B9C">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根据供应商针对本项目提供的空气自动监测子站数据采集器的检查方案进行评价： ①方案包含工作内容及相应措施的得1分； ②在满足①基础上，根据项目需求情况提出详细具体的检查流程和工作目标，有对应的人员安排和工作进度安排的得3分； ③未提供相关方案阐述或方案阐述内容不符合上述标准的不得分。</w:t>
            </w:r>
          </w:p>
        </w:tc>
        <w:tc>
          <w:tcPr>
            <w:tcW w:w="683" w:type="dxa"/>
            <w:noWrap w:val="0"/>
            <w:vAlign w:val="center"/>
          </w:tcPr>
          <w:p w14:paraId="320452E1">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15F1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06B59B04">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p>
        </w:tc>
        <w:tc>
          <w:tcPr>
            <w:tcW w:w="7343" w:type="dxa"/>
            <w:noWrap w:val="0"/>
            <w:vAlign w:val="center"/>
          </w:tcPr>
          <w:p w14:paraId="1BCC4456">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根据供应商针对本项目提供的站房设施管理方案进行评价： ①方案包含工作内容及相应措施的得1分； ②在满足①基础上，根据项目需求情况提出详细具体的管理流程和工作目标，有对应的人员安排和工作进度安排的得3分； ③未提供相关方案阐述或方案阐述内容不符合上述标准的不得分。</w:t>
            </w:r>
          </w:p>
        </w:tc>
        <w:tc>
          <w:tcPr>
            <w:tcW w:w="683" w:type="dxa"/>
            <w:noWrap w:val="0"/>
            <w:vAlign w:val="center"/>
          </w:tcPr>
          <w:p w14:paraId="71C53421">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09EE6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49D8B2A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p>
        </w:tc>
        <w:tc>
          <w:tcPr>
            <w:tcW w:w="7343" w:type="dxa"/>
            <w:noWrap w:val="0"/>
            <w:vAlign w:val="center"/>
          </w:tcPr>
          <w:p w14:paraId="3CEFF81C">
            <w:pPr>
              <w:pStyle w:val="78"/>
              <w:widowControl/>
              <w:spacing w:before="270" w:after="270" w:line="450" w:lineRule="atLeast"/>
              <w:ind w:left="0" w:leftChars="0" w:right="0" w:rightChars="0"/>
              <w:jc w:val="left"/>
              <w:rPr>
                <w:rFonts w:hint="eastAsia" w:ascii="宋体" w:hAnsi="宋体" w:eastAsia="宋体" w:cs="宋体"/>
                <w:color w:val="000000" w:themeColor="text1"/>
                <w:kern w:val="1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根据供应商针对本项目提供的质量审核工作方案进行评价： ①方案包含工作内容及相应措施的得1分； ②在满足①基础上，根据项目需求情况提出详细具体的工作流程和工作目标，有对应的人员安排和工作进度安排的得3分； ③未提供相关方案阐述或方案阐述内容不符合上述标准的不得分。</w:t>
            </w:r>
          </w:p>
        </w:tc>
        <w:tc>
          <w:tcPr>
            <w:tcW w:w="683" w:type="dxa"/>
            <w:noWrap w:val="0"/>
            <w:vAlign w:val="center"/>
          </w:tcPr>
          <w:p w14:paraId="18CC4919">
            <w:pPr>
              <w:pStyle w:val="78"/>
              <w:widowControl/>
              <w:spacing w:before="270" w:after="270" w:line="450" w:lineRule="atLeast"/>
              <w:ind w:left="0" w:leftChars="0" w:right="0" w:right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64BC9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782" w:type="dxa"/>
            <w:noWrap w:val="0"/>
            <w:vAlign w:val="center"/>
          </w:tcPr>
          <w:p w14:paraId="5B57AB61">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p>
        </w:tc>
        <w:tc>
          <w:tcPr>
            <w:tcW w:w="7343" w:type="dxa"/>
            <w:noWrap w:val="0"/>
            <w:vAlign w:val="center"/>
          </w:tcPr>
          <w:p w14:paraId="2ECAAD06">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根据供应商针对本项目提供的标准物质、器具的管理方案进行评价： ①方案包含工作内容及相应措施的得1分； ②在满足①基础上，根据项目需求情况提出详细具体的工作流程和工作目标，有对应的人员安排和工作进度安排的得3分； ③未提供相关方案阐述或方案阐述内容不符合上述标准的不得分。</w:t>
            </w:r>
          </w:p>
        </w:tc>
        <w:tc>
          <w:tcPr>
            <w:tcW w:w="683" w:type="dxa"/>
            <w:noWrap w:val="0"/>
            <w:vAlign w:val="center"/>
          </w:tcPr>
          <w:p w14:paraId="4EFC9D6A">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1140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2" w:type="dxa"/>
            <w:noWrap w:val="0"/>
            <w:vAlign w:val="center"/>
          </w:tcPr>
          <w:p w14:paraId="19216FA9">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p>
        </w:tc>
        <w:tc>
          <w:tcPr>
            <w:tcW w:w="7343" w:type="dxa"/>
            <w:noWrap w:val="0"/>
            <w:vAlign w:val="center"/>
          </w:tcPr>
          <w:p w14:paraId="3A261E18">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根据供应商针对本项目提供的数据质量保障方案进行评价： ①方案包含工作内容及相应措施的得1分； ②在满足①基础上，根据项目需求情况提出详细具体的工作流程和工作目标，有对应的人员安排和工作进度安排的得3分； ③未提供相关方案阐述或方案阐述内容不符合上述标准的不得分。</w:t>
            </w:r>
          </w:p>
        </w:tc>
        <w:tc>
          <w:tcPr>
            <w:tcW w:w="683" w:type="dxa"/>
            <w:noWrap w:val="0"/>
            <w:vAlign w:val="center"/>
          </w:tcPr>
          <w:p w14:paraId="0DE438E3">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1BB1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82" w:type="dxa"/>
            <w:noWrap w:val="0"/>
            <w:vAlign w:val="center"/>
          </w:tcPr>
          <w:p w14:paraId="5EE5DD1F">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p>
        </w:tc>
        <w:tc>
          <w:tcPr>
            <w:tcW w:w="7343" w:type="dxa"/>
            <w:noWrap w:val="0"/>
            <w:vAlign w:val="center"/>
          </w:tcPr>
          <w:p w14:paraId="14B825FA">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根据供应商针对本项目提供的空气自动站的维修方案进行评价： ①方案包含工作内容及相应措施的得1分； ②在满足①基础上，根据项目需求情况提出详细具体的工作流程和工作目标，有对应的人员安排和工作进度安排的得3分； ③未提供相关方案阐述或方案阐述内容不符合上述标准的不得分。</w:t>
            </w:r>
          </w:p>
        </w:tc>
        <w:tc>
          <w:tcPr>
            <w:tcW w:w="683" w:type="dxa"/>
            <w:noWrap w:val="0"/>
            <w:vAlign w:val="center"/>
          </w:tcPr>
          <w:p w14:paraId="4DCB0E92">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0BD0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782" w:type="dxa"/>
            <w:noWrap w:val="0"/>
            <w:vAlign w:val="center"/>
          </w:tcPr>
          <w:p w14:paraId="423D4A50">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1-10</w:t>
            </w:r>
          </w:p>
        </w:tc>
        <w:tc>
          <w:tcPr>
            <w:tcW w:w="7343" w:type="dxa"/>
            <w:noWrap w:val="0"/>
            <w:vAlign w:val="center"/>
          </w:tcPr>
          <w:p w14:paraId="5ED7EAE5">
            <w:pPr>
              <w:pStyle w:val="78"/>
              <w:widowControl/>
              <w:spacing w:before="270" w:after="270" w:line="450" w:lineRule="atLeast"/>
              <w:ind w:left="0" w:leftChars="0" w:right="0" w:rightChars="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根据供应商对本项目特点、需求进行分析情况进行评分： ①内容包含有项目特点、需求分析且详细完整的得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 ②在满足①基础上，包含有目标需求分析、服务内容分析、结果要求分析，且有列出难点，有提出相应措施的得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 ③未提供相关内容阐述或内容阐述内容不符合上述标准的不得分。</w:t>
            </w:r>
          </w:p>
        </w:tc>
        <w:tc>
          <w:tcPr>
            <w:tcW w:w="683" w:type="dxa"/>
            <w:noWrap w:val="0"/>
            <w:vAlign w:val="center"/>
          </w:tcPr>
          <w:p w14:paraId="7CF4F38D">
            <w:pPr>
              <w:pStyle w:val="78"/>
              <w:widowControl/>
              <w:spacing w:before="270" w:after="270" w:line="450" w:lineRule="atLeast"/>
              <w:ind w:left="0" w:leftChars="0" w:right="0" w:rightChars="0"/>
              <w:jc w:val="left"/>
              <w:rPr>
                <w:rFonts w:hint="eastAsia" w:ascii="宋体" w:hAnsi="宋体" w:cs="宋体"/>
                <w:b w:val="0"/>
                <w:bCs w:val="0"/>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r>
      <w:tr w14:paraId="5088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782" w:type="dxa"/>
            <w:noWrap w:val="0"/>
            <w:vAlign w:val="center"/>
          </w:tcPr>
          <w:p w14:paraId="194216E5">
            <w:pPr>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1-11</w:t>
            </w:r>
          </w:p>
        </w:tc>
        <w:tc>
          <w:tcPr>
            <w:tcW w:w="7343" w:type="dxa"/>
            <w:noWrap w:val="0"/>
            <w:vAlign w:val="center"/>
          </w:tcPr>
          <w:p w14:paraId="7046BB4A">
            <w:pPr>
              <w:pStyle w:val="78"/>
              <w:widowControl/>
              <w:spacing w:before="270" w:after="270" w:line="450" w:lineRule="atLeast"/>
              <w:ind w:left="0" w:leftChars="0" w:right="0" w:rightChars="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根据供应商提供的信息保密方案进行评价： ①方案包含信息保密规定且详细完整的得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 ②在①的基础上，方案包含保障措施及数据保密规定，保密措施可操作性强，能有效保障采购人相关信息安全的得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 ③未提供相关方案阐述或方案阐述内容不符合上述标准的不得分。</w:t>
            </w:r>
          </w:p>
        </w:tc>
        <w:tc>
          <w:tcPr>
            <w:tcW w:w="683" w:type="dxa"/>
            <w:noWrap w:val="0"/>
            <w:vAlign w:val="center"/>
          </w:tcPr>
          <w:p w14:paraId="7D1B6D5D">
            <w:pPr>
              <w:pStyle w:val="78"/>
              <w:widowControl/>
              <w:spacing w:before="270" w:after="270" w:line="450" w:lineRule="atLeast"/>
              <w:ind w:left="0" w:leftChars="0" w:right="0" w:rightChars="0"/>
              <w:jc w:val="left"/>
              <w:rPr>
                <w:rFonts w:hint="eastAsia" w:ascii="宋体" w:hAnsi="宋体" w:eastAsia="宋体" w:cs="宋体"/>
                <w:b w:val="0"/>
                <w:bCs w:val="0"/>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r>
      <w:tr w14:paraId="7EFE2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782" w:type="dxa"/>
            <w:noWrap w:val="0"/>
            <w:vAlign w:val="center"/>
          </w:tcPr>
          <w:p w14:paraId="0D1DFEB2">
            <w:pPr>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1-12</w:t>
            </w:r>
          </w:p>
        </w:tc>
        <w:tc>
          <w:tcPr>
            <w:tcW w:w="7343" w:type="dxa"/>
            <w:noWrap w:val="0"/>
            <w:vAlign w:val="center"/>
          </w:tcPr>
          <w:p w14:paraId="3CFEEE7A">
            <w:pPr>
              <w:pStyle w:val="78"/>
              <w:widowControl/>
              <w:spacing w:before="270" w:after="270" w:line="450" w:lineRule="atLeast"/>
              <w:ind w:left="0" w:leftChars="0" w:right="0" w:rightChars="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根据供应商提供的应急突发情况及处置方案进行评价： ①供应商有提供应急突发情况及处置方案的得1分； ②在满足①基础上，针对上述突发情况罗列对应的处置方案、应急人员调度制度，各种突发情况罗列详细且应对措施得当，并在结束后将应急情况整体过程总结记录归档、有利于下次应急的得3分； ③未提供相关方案阐述或方案阐述内容不符合上述标准的不得分。</w:t>
            </w:r>
          </w:p>
        </w:tc>
        <w:tc>
          <w:tcPr>
            <w:tcW w:w="683" w:type="dxa"/>
            <w:noWrap w:val="0"/>
            <w:vAlign w:val="center"/>
          </w:tcPr>
          <w:p w14:paraId="21542817">
            <w:pPr>
              <w:pStyle w:val="78"/>
              <w:widowControl/>
              <w:spacing w:before="270" w:after="270" w:line="450" w:lineRule="atLeast"/>
              <w:ind w:left="0" w:leftChars="0" w:right="0" w:rightChars="0"/>
              <w:jc w:val="left"/>
              <w:rPr>
                <w:rFonts w:hint="eastAsia" w:ascii="宋体" w:hAnsi="宋体" w:cs="宋体"/>
                <w:b w:val="0"/>
                <w:bCs w:val="0"/>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397DA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782" w:type="dxa"/>
            <w:noWrap w:val="0"/>
            <w:vAlign w:val="center"/>
          </w:tcPr>
          <w:p w14:paraId="3F65CF3F">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w:t>
            </w:r>
          </w:p>
        </w:tc>
        <w:tc>
          <w:tcPr>
            <w:tcW w:w="7343" w:type="dxa"/>
            <w:noWrap w:val="0"/>
            <w:vAlign w:val="center"/>
          </w:tcPr>
          <w:p w14:paraId="7555DEE7">
            <w:pPr>
              <w:pStyle w:val="78"/>
              <w:widowControl/>
              <w:spacing w:before="270" w:after="270" w:line="450" w:lineRule="atLeast"/>
              <w:ind w:left="0" w:leftChars="0" w:right="0" w:rightChars="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提供的项目负责人承担类似项目工作经验进行评价：1年≤工作经历＜2年的得1分，2年≤工作经历＜3年的得2分，工作经历≥3年的得3分。注：供应商须提供相关工作</w:t>
            </w:r>
            <w:r>
              <w:rPr>
                <w:rFonts w:hint="eastAsia" w:ascii="宋体" w:hAnsi="宋体" w:cs="宋体"/>
                <w:color w:val="000000" w:themeColor="text1"/>
                <w:kern w:val="0"/>
                <w:sz w:val="24"/>
                <w:szCs w:val="24"/>
                <w:highlight w:val="none"/>
                <w:lang w:val="en-US" w:eastAsia="zh-CN"/>
                <w14:textFill>
                  <w14:solidFill>
                    <w14:schemeClr w14:val="tx1"/>
                  </w14:solidFill>
                </w14:textFill>
              </w:rPr>
              <w:t>劳动</w:t>
            </w:r>
            <w:r>
              <w:rPr>
                <w:rFonts w:hint="eastAsia" w:ascii="宋体" w:hAnsi="宋体" w:eastAsia="宋体" w:cs="宋体"/>
                <w:color w:val="000000" w:themeColor="text1"/>
                <w:kern w:val="0"/>
                <w:sz w:val="24"/>
                <w:szCs w:val="24"/>
                <w:highlight w:val="none"/>
                <w14:textFill>
                  <w14:solidFill>
                    <w14:schemeClr w14:val="tx1"/>
                  </w14:solidFill>
                </w14:textFill>
              </w:rPr>
              <w:t>合同证明材料及近六个月任意一个月为其缴交的社保证明材料，否则不得分。</w:t>
            </w:r>
          </w:p>
        </w:tc>
        <w:tc>
          <w:tcPr>
            <w:tcW w:w="683" w:type="dxa"/>
            <w:noWrap w:val="0"/>
            <w:vAlign w:val="center"/>
          </w:tcPr>
          <w:p w14:paraId="56846936">
            <w:pPr>
              <w:pStyle w:val="78"/>
              <w:widowControl/>
              <w:spacing w:before="270" w:after="270" w:line="450" w:lineRule="atLeast"/>
              <w:ind w:left="0" w:leftChars="0" w:right="0" w:rightChars="0"/>
              <w:jc w:val="left"/>
              <w:rPr>
                <w:rFonts w:hint="eastAsia" w:ascii="宋体" w:hAnsi="宋体" w:cs="宋体"/>
                <w:b w:val="0"/>
                <w:bCs w:val="0"/>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1CEB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782" w:type="dxa"/>
            <w:noWrap w:val="0"/>
            <w:vAlign w:val="center"/>
          </w:tcPr>
          <w:p w14:paraId="47A1B2AD">
            <w:pPr>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1-14</w:t>
            </w:r>
          </w:p>
        </w:tc>
        <w:tc>
          <w:tcPr>
            <w:tcW w:w="7343" w:type="dxa"/>
            <w:noWrap w:val="0"/>
            <w:vAlign w:val="center"/>
          </w:tcPr>
          <w:p w14:paraId="690B5630">
            <w:pPr>
              <w:pStyle w:val="78"/>
              <w:widowControl/>
              <w:spacing w:before="270" w:after="270" w:line="450" w:lineRule="atLeast"/>
              <w:ind w:left="0" w:leftChars="0" w:right="0" w:rightChars="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根据供应商拟投入本项目的项目负责人职称进行评价： 项目负责人具有环境相关专业的中级及以上职称的得3分，否则不得分。 注：供应商需提供证书</w:t>
            </w:r>
            <w:r>
              <w:rPr>
                <w:rFonts w:hint="eastAsia" w:ascii="宋体" w:hAnsi="宋体" w:cs="宋体"/>
                <w:color w:val="000000" w:themeColor="text1"/>
                <w:kern w:val="0"/>
                <w:sz w:val="24"/>
                <w:szCs w:val="24"/>
                <w:highlight w:val="none"/>
                <w:lang w:eastAsia="zh-CN"/>
                <w14:textFill>
                  <w14:solidFill>
                    <w14:schemeClr w14:val="tx1"/>
                  </w14:solidFill>
                </w14:textFill>
              </w:rPr>
              <w:t>复印件</w:t>
            </w:r>
            <w:r>
              <w:rPr>
                <w:rFonts w:hint="eastAsia" w:ascii="宋体" w:hAnsi="宋体" w:eastAsia="宋体" w:cs="宋体"/>
                <w:color w:val="000000" w:themeColor="text1"/>
                <w:kern w:val="0"/>
                <w:sz w:val="24"/>
                <w:szCs w:val="24"/>
                <w:highlight w:val="none"/>
                <w14:textFill>
                  <w14:solidFill>
                    <w14:schemeClr w14:val="tx1"/>
                  </w14:solidFill>
                </w14:textFill>
              </w:rPr>
              <w:t>、近六个月任意一个月为其缴交的社保证明材料，否则不得分。</w:t>
            </w:r>
          </w:p>
        </w:tc>
        <w:tc>
          <w:tcPr>
            <w:tcW w:w="683" w:type="dxa"/>
            <w:noWrap w:val="0"/>
            <w:vAlign w:val="center"/>
          </w:tcPr>
          <w:p w14:paraId="57B88D3E">
            <w:pPr>
              <w:pStyle w:val="78"/>
              <w:widowControl/>
              <w:spacing w:before="270" w:after="270" w:line="450" w:lineRule="atLeast"/>
              <w:ind w:left="0" w:leftChars="0" w:right="0" w:rightChars="0"/>
              <w:jc w:val="left"/>
              <w:rPr>
                <w:rFonts w:hint="eastAsia" w:ascii="宋体" w:hAnsi="宋体" w:cs="宋体"/>
                <w:b w:val="0"/>
                <w:bCs w:val="0"/>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6078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782" w:type="dxa"/>
            <w:noWrap w:val="0"/>
            <w:vAlign w:val="center"/>
          </w:tcPr>
          <w:p w14:paraId="39DF1B7E">
            <w:pPr>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1-15</w:t>
            </w:r>
          </w:p>
        </w:tc>
        <w:tc>
          <w:tcPr>
            <w:tcW w:w="7343" w:type="dxa"/>
            <w:noWrap w:val="0"/>
            <w:vAlign w:val="center"/>
          </w:tcPr>
          <w:p w14:paraId="2A0B47EF">
            <w:pPr>
              <w:pStyle w:val="78"/>
              <w:widowControl/>
              <w:spacing w:before="270" w:after="270" w:line="450" w:lineRule="atLeast"/>
              <w:ind w:left="0" w:leftChars="0" w:right="0" w:rightChars="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供应商承诺为本项目配备的服务人员若被发现不能履职尽岗的，采购人有权提出更换，供应商必须无条件予以配合的得2分。供应商应提供书面承诺</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格式自拟</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c>
          <w:tcPr>
            <w:tcW w:w="683" w:type="dxa"/>
            <w:noWrap w:val="0"/>
            <w:vAlign w:val="center"/>
          </w:tcPr>
          <w:p w14:paraId="1D2935EB">
            <w:pPr>
              <w:pStyle w:val="78"/>
              <w:widowControl/>
              <w:spacing w:before="270" w:after="270" w:line="450" w:lineRule="atLeast"/>
              <w:ind w:left="0" w:leftChars="0" w:right="0" w:rightChars="0"/>
              <w:jc w:val="left"/>
              <w:rPr>
                <w:rFonts w:hint="eastAsia" w:ascii="宋体" w:hAnsi="宋体" w:cs="宋体"/>
                <w:b w:val="0"/>
                <w:bCs w:val="0"/>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r>
    </w:tbl>
    <w:p w14:paraId="1FF78E88">
      <w:pPr>
        <w:pStyle w:val="5"/>
        <w:numPr>
          <w:ilvl w:val="0"/>
          <w:numId w:val="0"/>
        </w:numPr>
        <w:snapToGrid w:val="0"/>
        <w:spacing w:line="360" w:lineRule="auto"/>
        <w:jc w:val="both"/>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p>
    <w:p w14:paraId="19BE8431">
      <w:pPr>
        <w:pStyle w:val="5"/>
        <w:numPr>
          <w:ilvl w:val="0"/>
          <w:numId w:val="0"/>
        </w:numPr>
        <w:snapToGrid w:val="0"/>
        <w:spacing w:line="360" w:lineRule="auto"/>
        <w:jc w:val="both"/>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p>
    <w:p w14:paraId="31CEE089">
      <w:pPr>
        <w:pStyle w:val="5"/>
        <w:numPr>
          <w:ilvl w:val="0"/>
          <w:numId w:val="0"/>
        </w:numPr>
        <w:snapToGrid w:val="0"/>
        <w:spacing w:line="360" w:lineRule="auto"/>
        <w:jc w:val="both"/>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p>
    <w:p w14:paraId="2F2368C8">
      <w:pPr>
        <w:pStyle w:val="5"/>
        <w:numPr>
          <w:ilvl w:val="0"/>
          <w:numId w:val="0"/>
        </w:numPr>
        <w:snapToGrid w:val="0"/>
        <w:spacing w:line="360" w:lineRule="auto"/>
        <w:jc w:val="both"/>
        <w:rPr>
          <w:rFonts w:hint="eastAsia"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（二）</w:t>
      </w:r>
      <w:r>
        <w:rPr>
          <w:rFonts w:hint="eastAsia" w:eastAsia="宋体" w:cs="宋体"/>
          <w:b/>
          <w:color w:val="000000" w:themeColor="text1"/>
          <w:sz w:val="24"/>
          <w:szCs w:val="24"/>
          <w:highlight w:val="none"/>
          <w:lang w:val="en-US" w:eastAsia="zh-CN"/>
          <w14:textFill>
            <w14:solidFill>
              <w14:schemeClr w14:val="tx1"/>
            </w14:solidFill>
          </w14:textFill>
        </w:rPr>
        <w:t>商务评分（F2）标准（满分</w:t>
      </w:r>
      <w:r>
        <w:rPr>
          <w:rFonts w:hint="eastAsia" w:cs="宋体"/>
          <w:b/>
          <w:color w:val="000000" w:themeColor="text1"/>
          <w:sz w:val="24"/>
          <w:szCs w:val="24"/>
          <w:highlight w:val="none"/>
          <w:lang w:val="en-US" w:eastAsia="zh-CN"/>
          <w14:textFill>
            <w14:solidFill>
              <w14:schemeClr w14:val="tx1"/>
            </w14:solidFill>
          </w14:textFill>
        </w:rPr>
        <w:t>25</w:t>
      </w:r>
      <w:r>
        <w:rPr>
          <w:rFonts w:hint="eastAsia" w:eastAsia="宋体" w:cs="宋体"/>
          <w:b/>
          <w:color w:val="000000" w:themeColor="text1"/>
          <w:sz w:val="24"/>
          <w:szCs w:val="24"/>
          <w:highlight w:val="none"/>
          <w:lang w:val="en-US" w:eastAsia="zh-CN"/>
          <w14:textFill>
            <w14:solidFill>
              <w14:schemeClr w14:val="tx1"/>
            </w14:solidFill>
          </w14:textFill>
        </w:rPr>
        <w:t>分）：</w:t>
      </w:r>
    </w:p>
    <w:p w14:paraId="29A3EB4B">
      <w:pPr>
        <w:pStyle w:val="5"/>
        <w:numPr>
          <w:ilvl w:val="0"/>
          <w:numId w:val="0"/>
        </w:numPr>
        <w:snapToGrid w:val="0"/>
        <w:spacing w:line="360" w:lineRule="auto"/>
        <w:jc w:val="both"/>
        <w:rPr>
          <w:rFonts w:hint="eastAsia" w:eastAsia="宋体" w:cs="宋体"/>
          <w:b/>
          <w:color w:val="000000" w:themeColor="text1"/>
          <w:sz w:val="24"/>
          <w:szCs w:val="24"/>
          <w:highlight w:val="none"/>
          <w:lang w:val="en-US" w:eastAsia="zh-CN"/>
          <w14:textFill>
            <w14:solidFill>
              <w14:schemeClr w14:val="tx1"/>
            </w14:solidFill>
          </w14:textFill>
        </w:rPr>
      </w:pPr>
    </w:p>
    <w:tbl>
      <w:tblPr>
        <w:tblStyle w:val="25"/>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
        <w:gridCol w:w="7377"/>
        <w:gridCol w:w="829"/>
      </w:tblGrid>
      <w:tr w14:paraId="55B1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2AA67DF5">
            <w:pPr>
              <w:adjustRightInd/>
              <w:snapToGrid/>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w:t>
            </w:r>
          </w:p>
          <w:p w14:paraId="307B4CAE">
            <w:pPr>
              <w:adjustRightInd/>
              <w:snapToGrid/>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377" w:type="dxa"/>
            <w:noWrap w:val="0"/>
            <w:vAlign w:val="center"/>
          </w:tcPr>
          <w:p w14:paraId="331EF5B7">
            <w:pPr>
              <w:adjustRightInd/>
              <w:snapToGrid/>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评标方法描述</w:t>
            </w:r>
          </w:p>
        </w:tc>
        <w:tc>
          <w:tcPr>
            <w:tcW w:w="829" w:type="dxa"/>
            <w:noWrap w:val="0"/>
            <w:vAlign w:val="center"/>
          </w:tcPr>
          <w:p w14:paraId="13A644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评标分值</w:t>
            </w:r>
          </w:p>
        </w:tc>
      </w:tr>
      <w:tr w14:paraId="6BC5F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63A33D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w:t>
            </w:r>
          </w:p>
        </w:tc>
        <w:tc>
          <w:tcPr>
            <w:tcW w:w="7377" w:type="dxa"/>
            <w:noWrap w:val="0"/>
            <w:vAlign w:val="center"/>
          </w:tcPr>
          <w:p w14:paraId="429EB693">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根据供应商的管理制度进行评价：有制定服务档案管理制度、服务事故追责制度、项目专项财务制度的，每项得1分，满分3分。</w:t>
            </w:r>
          </w:p>
        </w:tc>
        <w:tc>
          <w:tcPr>
            <w:tcW w:w="829" w:type="dxa"/>
            <w:noWrap w:val="0"/>
            <w:vAlign w:val="center"/>
          </w:tcPr>
          <w:p w14:paraId="6D5080E0">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5D0C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935" w:type="dxa"/>
            <w:noWrap w:val="0"/>
            <w:vAlign w:val="center"/>
          </w:tcPr>
          <w:p w14:paraId="3A80C6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w:t>
            </w:r>
          </w:p>
        </w:tc>
        <w:tc>
          <w:tcPr>
            <w:tcW w:w="7377" w:type="dxa"/>
            <w:noWrap w:val="0"/>
            <w:vAlign w:val="center"/>
          </w:tcPr>
          <w:p w14:paraId="6CD662FA">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供应商可提供厦门本地化服务的得3分，否则不得分。供应商可提供合作单位协议或者自身机构的营业执照证明，也可以提供在本地设立的项目部、办公室、办事处等机构证明，或者承诺成交后提供本地化服务。</w:t>
            </w:r>
          </w:p>
        </w:tc>
        <w:tc>
          <w:tcPr>
            <w:tcW w:w="829" w:type="dxa"/>
            <w:noWrap w:val="0"/>
            <w:vAlign w:val="center"/>
          </w:tcPr>
          <w:p w14:paraId="2DC55750">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5947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012663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-3</w:t>
            </w:r>
          </w:p>
        </w:tc>
        <w:tc>
          <w:tcPr>
            <w:tcW w:w="7377" w:type="dxa"/>
            <w:noWrap w:val="0"/>
            <w:vAlign w:val="center"/>
          </w:tcPr>
          <w:p w14:paraId="102D7E7F">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有为拟投入本项目的技术服务团队人员缴纳社保以外的雇主险或人身意外险，或承诺成交后为拟投入本项目的技术服务团队人员缴纳社保以外的雇主险或人身意外险的得3分。已为拟投入本项目的技术服务团队人员缴纳社保以外的雇主险或人身意外险的，须提供相关人员的保险保单或其他证明材料</w:t>
            </w:r>
            <w:r>
              <w:rPr>
                <w:rFonts w:hint="eastAsia" w:ascii="宋体" w:hAnsi="宋体" w:cs="宋体"/>
                <w:color w:val="000000" w:themeColor="text1"/>
                <w:kern w:val="0"/>
                <w:sz w:val="24"/>
                <w:szCs w:val="24"/>
                <w:highlight w:val="none"/>
                <w:lang w:eastAsia="zh-CN"/>
                <w14:textFill>
                  <w14:solidFill>
                    <w14:schemeClr w14:val="tx1"/>
                  </w14:solidFill>
                </w14:textFill>
              </w:rPr>
              <w:t>复印件</w:t>
            </w:r>
            <w:r>
              <w:rPr>
                <w:rFonts w:hint="eastAsia" w:ascii="宋体" w:hAnsi="宋体" w:eastAsia="宋体" w:cs="宋体"/>
                <w:color w:val="000000" w:themeColor="text1"/>
                <w:kern w:val="0"/>
                <w:sz w:val="24"/>
                <w:szCs w:val="24"/>
                <w:highlight w:val="none"/>
                <w14:textFill>
                  <w14:solidFill>
                    <w14:schemeClr w14:val="tx1"/>
                  </w14:solidFill>
                </w14:textFill>
              </w:rPr>
              <w:t>；承诺成交后为拟投入本项目的技术服务团队人员缴纳社保以外的雇主险或人身意外险的，</w:t>
            </w:r>
            <w:r>
              <w:rPr>
                <w:rFonts w:hint="eastAsia" w:ascii="宋体" w:hAnsi="宋体" w:cs="宋体"/>
                <w:color w:val="000000" w:themeColor="text1"/>
                <w:kern w:val="0"/>
                <w:sz w:val="24"/>
                <w:szCs w:val="24"/>
                <w:highlight w:val="none"/>
                <w14:textFill>
                  <w14:solidFill>
                    <w14:schemeClr w14:val="tx1"/>
                  </w14:solidFill>
                </w14:textFill>
              </w:rPr>
              <w:t>提供书面承诺（格式自拟）并加盖单位公章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c>
          <w:tcPr>
            <w:tcW w:w="829" w:type="dxa"/>
            <w:noWrap w:val="0"/>
            <w:vAlign w:val="center"/>
          </w:tcPr>
          <w:p w14:paraId="42E0A3BB">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7E9E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355B23B5">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p>
        </w:tc>
        <w:tc>
          <w:tcPr>
            <w:tcW w:w="7377" w:type="dxa"/>
            <w:noWrap w:val="0"/>
            <w:vAlign w:val="center"/>
          </w:tcPr>
          <w:p w14:paraId="63FF58EF">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根据2021年1月1日（以合同签订时间为准）</w:t>
            </w:r>
            <w:r>
              <w:rPr>
                <w:rFonts w:hint="eastAsia" w:ascii="宋体" w:hAnsi="宋体" w:cs="宋体"/>
                <w:color w:val="000000" w:themeColor="text1"/>
                <w:kern w:val="0"/>
                <w:sz w:val="24"/>
                <w:szCs w:val="24"/>
                <w:highlight w:val="none"/>
                <w:lang w:val="en-US" w:eastAsia="zh-CN"/>
                <w14:textFill>
                  <w14:solidFill>
                    <w14:schemeClr w14:val="tx1"/>
                  </w14:solidFill>
                </w14:textFill>
              </w:rPr>
              <w:t>至磋商当日</w:t>
            </w:r>
            <w:r>
              <w:rPr>
                <w:rFonts w:hint="eastAsia" w:ascii="宋体" w:hAnsi="宋体" w:eastAsia="宋体" w:cs="宋体"/>
                <w:color w:val="000000" w:themeColor="text1"/>
                <w:kern w:val="0"/>
                <w:sz w:val="24"/>
                <w:szCs w:val="24"/>
                <w:highlight w:val="none"/>
                <w14:textFill>
                  <w14:solidFill>
                    <w14:schemeClr w14:val="tx1"/>
                  </w14:solidFill>
                </w14:textFill>
              </w:rPr>
              <w:t>的环境运维类</w:t>
            </w:r>
            <w:r>
              <w:rPr>
                <w:rFonts w:hint="eastAsia" w:ascii="宋体" w:hAnsi="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14:textFill>
                  <w14:solidFill>
                    <w14:schemeClr w14:val="tx1"/>
                  </w14:solidFill>
                </w14:textFill>
              </w:rPr>
              <w:t>业绩进行评价：每个业绩得1分，满分3分。 注：（1）需提供业绩的以下四项证明材料</w:t>
            </w:r>
            <w:r>
              <w:rPr>
                <w:rFonts w:hint="eastAsia" w:ascii="宋体" w:hAnsi="宋体" w:cs="宋体"/>
                <w:color w:val="000000" w:themeColor="text1"/>
                <w:kern w:val="0"/>
                <w:sz w:val="24"/>
                <w:szCs w:val="24"/>
                <w:highlight w:val="none"/>
                <w:lang w:val="en-US" w:eastAsia="zh-CN"/>
                <w14:textFill>
                  <w14:solidFill>
                    <w14:schemeClr w14:val="tx1"/>
                  </w14:solidFill>
                </w14:textFill>
              </w:rPr>
              <w:t>复印件</w:t>
            </w:r>
            <w:r>
              <w:rPr>
                <w:rFonts w:hint="eastAsia" w:ascii="宋体" w:hAnsi="宋体" w:eastAsia="宋体" w:cs="宋体"/>
                <w:color w:val="000000" w:themeColor="text1"/>
                <w:kern w:val="0"/>
                <w:sz w:val="24"/>
                <w:szCs w:val="24"/>
                <w:highlight w:val="none"/>
                <w14:textFill>
                  <w14:solidFill>
                    <w14:schemeClr w14:val="tx1"/>
                  </w14:solidFill>
                </w14:textFill>
              </w:rPr>
              <w:t>，否则不得分： ①中标（成交）公告（提供相关网站中标（成交）公告的下载网页并注明网址）； ②中标（成交）通知书； ③采购合同文本； ④能够证明该业绩项目已经采购人验收合格或履约完成的相关证明材料。</w:t>
            </w:r>
          </w:p>
        </w:tc>
        <w:tc>
          <w:tcPr>
            <w:tcW w:w="829" w:type="dxa"/>
            <w:noWrap w:val="0"/>
            <w:vAlign w:val="center"/>
          </w:tcPr>
          <w:p w14:paraId="400C4269">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479D5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3BCCEF86">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p>
        </w:tc>
        <w:tc>
          <w:tcPr>
            <w:tcW w:w="7377" w:type="dxa"/>
            <w:noWrap w:val="0"/>
            <w:vAlign w:val="center"/>
          </w:tcPr>
          <w:p w14:paraId="371AB824">
            <w:pPr>
              <w:pStyle w:val="78"/>
              <w:widowControl/>
              <w:spacing w:before="270" w:after="270" w:line="450" w:lineRule="atLeast"/>
              <w:ind w:left="0" w:leftChars="0" w:right="0" w:rightChars="0"/>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自</w:t>
            </w:r>
            <w:r>
              <w:rPr>
                <w:rFonts w:hint="eastAsia" w:ascii="宋体" w:hAnsi="宋体" w:eastAsia="宋体" w:cs="宋体"/>
                <w:color w:val="000000" w:themeColor="text1"/>
                <w:kern w:val="0"/>
                <w:sz w:val="24"/>
                <w:szCs w:val="24"/>
                <w:highlight w:val="none"/>
                <w14:textFill>
                  <w14:solidFill>
                    <w14:schemeClr w14:val="tx1"/>
                  </w14:solidFill>
                </w14:textFill>
              </w:rPr>
              <w:t>2021年1月1日（以证明落款时间为准）</w:t>
            </w:r>
            <w:r>
              <w:rPr>
                <w:rFonts w:hint="eastAsia" w:ascii="宋体" w:hAnsi="宋体" w:cs="宋体"/>
                <w:color w:val="000000" w:themeColor="text1"/>
                <w:kern w:val="0"/>
                <w:sz w:val="24"/>
                <w:szCs w:val="24"/>
                <w:highlight w:val="none"/>
                <w:lang w:val="en-US" w:eastAsia="zh-CN"/>
                <w14:textFill>
                  <w14:solidFill>
                    <w14:schemeClr w14:val="tx1"/>
                  </w14:solidFill>
                </w14:textFill>
              </w:rPr>
              <w:t>至磋商当日</w:t>
            </w:r>
            <w:r>
              <w:rPr>
                <w:rFonts w:hint="eastAsia" w:ascii="宋体" w:hAnsi="宋体" w:eastAsia="宋体" w:cs="宋体"/>
                <w:color w:val="000000" w:themeColor="text1"/>
                <w:kern w:val="0"/>
                <w:sz w:val="24"/>
                <w:szCs w:val="24"/>
                <w:highlight w:val="none"/>
                <w14:textFill>
                  <w14:solidFill>
                    <w14:schemeClr w14:val="tx1"/>
                  </w14:solidFill>
                </w14:textFill>
              </w:rPr>
              <w:t>承担过的环境类运维项目获得业主单位的好评</w:t>
            </w:r>
            <w:r>
              <w:rPr>
                <w:rFonts w:hint="eastAsia" w:ascii="宋体" w:hAnsi="宋体" w:cs="宋体"/>
                <w:color w:val="000000" w:themeColor="text1"/>
                <w:kern w:val="0"/>
                <w:sz w:val="24"/>
                <w:szCs w:val="24"/>
                <w:highlight w:val="none"/>
                <w14:textFill>
                  <w14:solidFill>
                    <w14:schemeClr w14:val="tx1"/>
                  </w14:solidFill>
                </w14:textFill>
              </w:rPr>
              <w:t>【所获评价为“优”、“优秀”、“满意”或采用打分制80分（含80分）以上</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或政府部门的表彰，每份证明得1分，满分3分。 注：需提供业主单位盖章的好评证明文件或政府部门表彰证明。</w:t>
            </w:r>
          </w:p>
        </w:tc>
        <w:tc>
          <w:tcPr>
            <w:tcW w:w="829" w:type="dxa"/>
            <w:noWrap w:val="0"/>
            <w:vAlign w:val="center"/>
          </w:tcPr>
          <w:p w14:paraId="51A27647">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38FE7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43D44D38">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p>
        </w:tc>
        <w:tc>
          <w:tcPr>
            <w:tcW w:w="7377" w:type="dxa"/>
            <w:noWrap w:val="0"/>
            <w:vAlign w:val="center"/>
          </w:tcPr>
          <w:p w14:paraId="2737F98A">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供应商承诺成交后，在服务期内，对拟投入的所有人员及财物安全负全部责任，若发生人员安全或财物损失事故，承担全部责任的得3分。供应商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应</w:t>
            </w:r>
            <w:r>
              <w:rPr>
                <w:rFonts w:hint="eastAsia" w:ascii="宋体" w:hAnsi="宋体" w:cs="宋体"/>
                <w:color w:val="000000" w:themeColor="text1"/>
                <w:kern w:val="0"/>
                <w:sz w:val="24"/>
                <w:szCs w:val="24"/>
                <w:highlight w:val="none"/>
                <w14:textFill>
                  <w14:solidFill>
                    <w14:schemeClr w14:val="tx1"/>
                  </w14:solidFill>
                </w14:textFill>
              </w:rPr>
              <w:t>提供书面承诺（格式自拟）并加盖单位公章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c>
          <w:tcPr>
            <w:tcW w:w="829" w:type="dxa"/>
            <w:noWrap w:val="0"/>
            <w:vAlign w:val="center"/>
          </w:tcPr>
          <w:p w14:paraId="486FD67B">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r w14:paraId="369B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jc w:val="center"/>
        </w:trPr>
        <w:tc>
          <w:tcPr>
            <w:tcW w:w="935" w:type="dxa"/>
            <w:noWrap w:val="0"/>
            <w:vAlign w:val="center"/>
          </w:tcPr>
          <w:p w14:paraId="0F5F265D">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p>
        </w:tc>
        <w:tc>
          <w:tcPr>
            <w:tcW w:w="7377" w:type="dxa"/>
            <w:noWrap w:val="0"/>
            <w:vAlign w:val="center"/>
          </w:tcPr>
          <w:p w14:paraId="2FF02B52">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供应商承诺项目实施过程中能够配合采购人提出的合理意见并接受采购人监督的得2分。供应商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应</w:t>
            </w:r>
            <w:r>
              <w:rPr>
                <w:rFonts w:hint="eastAsia" w:ascii="宋体" w:hAnsi="宋体" w:cs="宋体"/>
                <w:color w:val="000000" w:themeColor="text1"/>
                <w:kern w:val="0"/>
                <w:sz w:val="24"/>
                <w:szCs w:val="24"/>
                <w:highlight w:val="none"/>
                <w14:textFill>
                  <w14:solidFill>
                    <w14:schemeClr w14:val="tx1"/>
                  </w14:solidFill>
                </w14:textFill>
              </w:rPr>
              <w:t>提供书面承诺（格式自拟）并加盖单位公章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c>
          <w:tcPr>
            <w:tcW w:w="829" w:type="dxa"/>
            <w:noWrap w:val="0"/>
            <w:vAlign w:val="center"/>
          </w:tcPr>
          <w:p w14:paraId="7F52D482">
            <w:pPr>
              <w:pStyle w:val="78"/>
              <w:widowControl/>
              <w:spacing w:before="270" w:after="270" w:line="450" w:lineRule="atLeast"/>
              <w:ind w:left="0" w:leftChars="0" w:right="0" w:right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r>
      <w:tr w14:paraId="02FCC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647D82E8">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7377" w:type="dxa"/>
            <w:noWrap w:val="0"/>
            <w:vAlign w:val="center"/>
          </w:tcPr>
          <w:p w14:paraId="321DCAF2">
            <w:pPr>
              <w:pStyle w:val="78"/>
              <w:widowControl/>
              <w:spacing w:before="270" w:after="270" w:line="450" w:lineRule="atLeast"/>
              <w:ind w:left="0" w:leftChars="0" w:right="0" w:right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供应商承诺运维期间内配合地市与区内检查工作，运维标准参照区控点相关技术要求的得2分。供应商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应</w:t>
            </w:r>
            <w:r>
              <w:rPr>
                <w:rFonts w:hint="eastAsia" w:ascii="宋体" w:hAnsi="宋体" w:cs="宋体"/>
                <w:color w:val="000000" w:themeColor="text1"/>
                <w:kern w:val="0"/>
                <w:sz w:val="24"/>
                <w:szCs w:val="24"/>
                <w:highlight w:val="none"/>
                <w14:textFill>
                  <w14:solidFill>
                    <w14:schemeClr w14:val="tx1"/>
                  </w14:solidFill>
                </w14:textFill>
              </w:rPr>
              <w:t>提供书面承诺（格式自拟）并加盖单位公章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c>
          <w:tcPr>
            <w:tcW w:w="829" w:type="dxa"/>
            <w:noWrap w:val="0"/>
            <w:vAlign w:val="center"/>
          </w:tcPr>
          <w:p w14:paraId="7AB01D0E">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r>
      <w:tr w14:paraId="78248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noWrap w:val="0"/>
            <w:vAlign w:val="center"/>
          </w:tcPr>
          <w:p w14:paraId="1D318633">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7377" w:type="dxa"/>
            <w:noWrap w:val="0"/>
            <w:vAlign w:val="center"/>
          </w:tcPr>
          <w:p w14:paraId="629BCF67">
            <w:pPr>
              <w:pStyle w:val="78"/>
              <w:widowControl/>
              <w:spacing w:before="270" w:after="270" w:line="450" w:lineRule="atLeast"/>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供应商承诺严格执行相关法律法规、标准和技术规范，并对其出具的检测（监测）数据和报告的真实性、准确性和规范性负责，不得篡改、伪造的得3分。供应商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应</w:t>
            </w:r>
            <w:r>
              <w:rPr>
                <w:rFonts w:hint="eastAsia" w:ascii="宋体" w:hAnsi="宋体" w:cs="宋体"/>
                <w:color w:val="000000" w:themeColor="text1"/>
                <w:kern w:val="0"/>
                <w:sz w:val="24"/>
                <w:szCs w:val="24"/>
                <w:highlight w:val="none"/>
                <w14:textFill>
                  <w14:solidFill>
                    <w14:schemeClr w14:val="tx1"/>
                  </w14:solidFill>
                </w14:textFill>
              </w:rPr>
              <w:t>提供书面承诺（格式自拟）并加盖单位公章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c>
          <w:tcPr>
            <w:tcW w:w="829" w:type="dxa"/>
            <w:noWrap w:val="0"/>
            <w:vAlign w:val="center"/>
          </w:tcPr>
          <w:p w14:paraId="2B3CEF55">
            <w:pPr>
              <w:pStyle w:val="78"/>
              <w:widowControl/>
              <w:spacing w:before="270" w:after="270" w:line="450" w:lineRule="atLeast"/>
              <w:ind w:left="0" w:leftChars="0" w:right="0" w:right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r>
    </w:tbl>
    <w:p w14:paraId="408286BB">
      <w:pPr>
        <w:pStyle w:val="5"/>
        <w:numPr>
          <w:ilvl w:val="0"/>
          <w:numId w:val="0"/>
        </w:numPr>
        <w:snapToGrid w:val="0"/>
        <w:spacing w:line="360" w:lineRule="auto"/>
        <w:jc w:val="both"/>
        <w:rPr>
          <w:rFonts w:hint="eastAsia" w:eastAsia="宋体" w:cs="宋体"/>
          <w:b/>
          <w:color w:val="000000" w:themeColor="text1"/>
          <w:sz w:val="24"/>
          <w:szCs w:val="24"/>
          <w:highlight w:val="none"/>
          <w:lang w:val="en-US" w:eastAsia="zh-CN"/>
          <w14:textFill>
            <w14:solidFill>
              <w14:schemeClr w14:val="tx1"/>
            </w14:solidFill>
          </w14:textFill>
        </w:rPr>
      </w:pPr>
    </w:p>
    <w:p w14:paraId="781103C5">
      <w:pPr>
        <w:pStyle w:val="5"/>
        <w:numPr>
          <w:ilvl w:val="0"/>
          <w:numId w:val="0"/>
        </w:numPr>
        <w:snapToGrid w:val="0"/>
        <w:spacing w:line="360" w:lineRule="auto"/>
        <w:jc w:val="both"/>
        <w:rPr>
          <w:rFonts w:hint="eastAsia" w:eastAsia="宋体" w:cs="宋体"/>
          <w:b/>
          <w:color w:val="000000" w:themeColor="text1"/>
          <w:sz w:val="24"/>
          <w:szCs w:val="24"/>
          <w:highlight w:val="none"/>
          <w:lang w:val="en-US" w:eastAsia="zh-CN"/>
          <w14:textFill>
            <w14:solidFill>
              <w14:schemeClr w14:val="tx1"/>
            </w14:solidFill>
          </w14:textFill>
        </w:rPr>
      </w:pPr>
    </w:p>
    <w:p w14:paraId="767C44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F0CC0FD">
      <w:pPr>
        <w:spacing w:line="360" w:lineRule="auto"/>
        <w:jc w:val="left"/>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（三）报价评分（F3）标准（满分</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分）：</w:t>
      </w:r>
    </w:p>
    <w:p w14:paraId="38C0A7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满足采购文件要求且有效标评审价最低的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的价格为磋商基准价，其价格分为满分。其他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的价格分统一按照公式：磋商报价得分=</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×磋商基准价/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的评审价</w:t>
      </w:r>
    </w:p>
    <w:p w14:paraId="57A6939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eastAsia="宋体" w:cs="宋体"/>
          <w:color w:val="000000" w:themeColor="text1"/>
          <w:spacing w:val="-4"/>
          <w:sz w:val="24"/>
          <w:szCs w:val="24"/>
          <w:highlight w:val="none"/>
          <w14:textFill>
            <w14:solidFill>
              <w14:schemeClr w14:val="tx1"/>
            </w14:solidFill>
          </w14:textFill>
        </w:rPr>
        <w:t>漏（缺）项修正、</w:t>
      </w:r>
      <w:r>
        <w:rPr>
          <w:rFonts w:hint="eastAsia" w:ascii="宋体" w:hAnsi="宋体" w:eastAsia="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14:paraId="500F18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D18F478">
      <w:pPr>
        <w:tabs>
          <w:tab w:val="left" w:pos="-1080"/>
          <w:tab w:val="left" w:pos="180"/>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sz w:val="24"/>
          <w:szCs w:val="24"/>
          <w:highlight w:val="none"/>
          <w:lang w:val="en-US" w:eastAsia="zh-CN"/>
          <w14:textFill>
            <w14:solidFill>
              <w14:schemeClr w14:val="tx1"/>
            </w14:solidFill>
          </w14:textFill>
        </w:rPr>
        <w:t>节能、环保产品价格扣除</w:t>
      </w:r>
      <w:r>
        <w:rPr>
          <w:rFonts w:hint="eastAsia" w:ascii="宋体" w:hAnsi="宋体" w:eastAsia="宋体" w:cs="宋体"/>
          <w:b/>
          <w:color w:val="000000" w:themeColor="text1"/>
          <w:sz w:val="24"/>
          <w:szCs w:val="24"/>
          <w:highlight w:val="none"/>
          <w14:textFill>
            <w14:solidFill>
              <w14:schemeClr w14:val="tx1"/>
            </w14:solidFill>
          </w14:textFill>
        </w:rPr>
        <w:t>：</w:t>
      </w:r>
    </w:p>
    <w:p w14:paraId="508DDA22">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有节能（强制采购节能产品的除外）、环保产品认证证书的报价服务，在评审时将给予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，具体见</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须知前附表5。</w:t>
      </w:r>
    </w:p>
    <w:p w14:paraId="02222034">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63753C0C">
      <w:pPr>
        <w:pStyle w:val="3"/>
        <w:keepNext w:val="0"/>
        <w:keepLines w:val="0"/>
        <w:tabs>
          <w:tab w:val="center" w:pos="4365"/>
        </w:tabs>
        <w:spacing w:before="0" w:after="0" w:line="360" w:lineRule="auto"/>
        <w:ind w:firstLine="643"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14:paraId="6975F0F0">
      <w:pPr>
        <w:rPr>
          <w:rFonts w:hint="eastAsia" w:ascii="宋体" w:hAnsi="宋体" w:eastAsia="宋体" w:cs="宋体"/>
          <w:color w:val="000000" w:themeColor="text1"/>
          <w:sz w:val="32"/>
          <w:szCs w:val="32"/>
          <w:highlight w:val="none"/>
          <w14:textFill>
            <w14:solidFill>
              <w14:schemeClr w14:val="tx1"/>
            </w14:solidFill>
          </w14:textFill>
        </w:rPr>
      </w:pPr>
    </w:p>
    <w:p w14:paraId="2DB67F48">
      <w:pPr>
        <w:rPr>
          <w:rFonts w:hint="eastAsia" w:ascii="宋体" w:hAnsi="宋体" w:eastAsia="宋体" w:cs="宋体"/>
          <w:color w:val="000000" w:themeColor="text1"/>
          <w:sz w:val="32"/>
          <w:szCs w:val="32"/>
          <w:highlight w:val="none"/>
          <w14:textFill>
            <w14:solidFill>
              <w14:schemeClr w14:val="tx1"/>
            </w14:solidFill>
          </w14:textFill>
        </w:rPr>
      </w:pPr>
    </w:p>
    <w:p w14:paraId="04A85C45">
      <w:pPr>
        <w:rPr>
          <w:rFonts w:hint="eastAsia" w:ascii="宋体" w:hAnsi="宋体" w:eastAsia="宋体" w:cs="宋体"/>
          <w:color w:val="000000" w:themeColor="text1"/>
          <w:sz w:val="32"/>
          <w:szCs w:val="32"/>
          <w:highlight w:val="none"/>
          <w14:textFill>
            <w14:solidFill>
              <w14:schemeClr w14:val="tx1"/>
            </w14:solidFill>
          </w14:textFill>
        </w:rPr>
      </w:pPr>
    </w:p>
    <w:p w14:paraId="08520F03">
      <w:pPr>
        <w:rPr>
          <w:rFonts w:hint="eastAsia" w:ascii="宋体" w:hAnsi="宋体" w:eastAsia="宋体" w:cs="宋体"/>
          <w:color w:val="000000" w:themeColor="text1"/>
          <w:sz w:val="32"/>
          <w:szCs w:val="32"/>
          <w:highlight w:val="none"/>
          <w14:textFill>
            <w14:solidFill>
              <w14:schemeClr w14:val="tx1"/>
            </w14:solidFill>
          </w14:textFill>
        </w:rPr>
      </w:pPr>
    </w:p>
    <w:p w14:paraId="0DBCD008">
      <w:pPr>
        <w:pStyle w:val="3"/>
        <w:keepNext w:val="0"/>
        <w:keepLines w:val="0"/>
        <w:tabs>
          <w:tab w:val="center" w:pos="4365"/>
        </w:tabs>
        <w:spacing w:before="0" w:after="0" w:line="360" w:lineRule="auto"/>
        <w:ind w:firstLine="643"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供应商</w:t>
      </w:r>
      <w:r>
        <w:rPr>
          <w:rFonts w:hint="eastAsia" w:ascii="宋体" w:hAnsi="宋体" w:eastAsia="宋体" w:cs="宋体"/>
          <w:color w:val="000000" w:themeColor="text1"/>
          <w:sz w:val="32"/>
          <w:szCs w:val="32"/>
          <w:highlight w:val="none"/>
          <w14:textFill>
            <w14:solidFill>
              <w14:schemeClr w14:val="tx1"/>
            </w14:solidFill>
          </w14:textFill>
        </w:rPr>
        <w:t>须知前附表4：中小企业及监狱企业优惠办法</w:t>
      </w:r>
    </w:p>
    <w:tbl>
      <w:tblPr>
        <w:tblStyle w:val="2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32E9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00" w:type="dxa"/>
            <w:noWrap w:val="0"/>
            <w:vAlign w:val="center"/>
          </w:tcPr>
          <w:p w14:paraId="36AB8B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14:paraId="59149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14:paraId="3519B1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7712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noWrap w:val="0"/>
            <w:vAlign w:val="center"/>
          </w:tcPr>
          <w:p w14:paraId="1D95D8C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14:paraId="5B69EC1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本项目是否属于预留份额专门面向中小企业采购活动</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6256" w:type="dxa"/>
            <w:noWrap w:val="0"/>
            <w:vAlign w:val="center"/>
          </w:tcPr>
          <w:p w14:paraId="7B739E3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w:t>
            </w:r>
            <w:r>
              <w:rPr>
                <w:rFonts w:hint="eastAsia" w:ascii="宋体" w:hAnsi="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专门面向中小企业采购，本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承接方须为</w:t>
            </w:r>
            <w:r>
              <w:rPr>
                <w:rFonts w:hint="eastAsia" w:ascii="宋体"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小</w:t>
            </w:r>
            <w:r>
              <w:rPr>
                <w:rFonts w:hint="eastAsia" w:ascii="宋体" w:hAnsi="宋体" w:cs="宋体"/>
                <w:color w:val="000000" w:themeColor="text1"/>
                <w:sz w:val="24"/>
                <w:szCs w:val="24"/>
                <w:highlight w:val="none"/>
                <w:lang w:val="en-US" w:eastAsia="zh-CN"/>
                <w14:textFill>
                  <w14:solidFill>
                    <w14:schemeClr w14:val="tx1"/>
                  </w14:solidFill>
                </w14:textFill>
              </w:rPr>
              <w:t>微</w:t>
            </w:r>
            <w:r>
              <w:rPr>
                <w:rFonts w:hint="eastAsia" w:ascii="宋体" w:hAnsi="宋体" w:eastAsia="宋体" w:cs="宋体"/>
                <w:color w:val="000000" w:themeColor="text1"/>
                <w:sz w:val="24"/>
                <w:szCs w:val="24"/>
                <w:highlight w:val="none"/>
                <w14:textFill>
                  <w14:solidFill>
                    <w14:schemeClr w14:val="tx1"/>
                  </w14:solidFill>
                </w14:textFill>
              </w:rPr>
              <w:t>企业，否则其报价将作无效报价处理。</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需提供中小企业声明函，格式详见</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格式。 2、监狱企业、残疾人福利性单位视同小型、微型企业。</w:t>
            </w:r>
          </w:p>
          <w:p w14:paraId="1665A38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D57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7606D74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14:paraId="43C370B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14:paraId="569A9E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7E4EF38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14:paraId="1996C7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24FA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0" w:type="dxa"/>
            <w:noWrap w:val="0"/>
            <w:vAlign w:val="center"/>
          </w:tcPr>
          <w:p w14:paraId="129CD227">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14:paraId="1A9FDE86">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14:paraId="5FACF66D">
            <w:pPr>
              <w:spacing w:line="360" w:lineRule="auto"/>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为中小企业（含中型、小型、微型企业，下同）：</w:t>
            </w:r>
          </w:p>
          <w:p w14:paraId="78634CB5">
            <w:pPr>
              <w:spacing w:line="360" w:lineRule="auto"/>
              <w:ind w:left="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①磋商保证金：</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全免</w:t>
            </w:r>
          </w:p>
          <w:p w14:paraId="6FAA46B9">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14:paraId="68700F76">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14:paraId="40DD6CF8">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本项目的服务承接商为小微企业。</w:t>
            </w:r>
            <w:r>
              <w:rPr>
                <w:rFonts w:hint="eastAsia" w:ascii="宋体" w:hAnsi="宋体" w:eastAsia="宋体" w:cs="宋体"/>
                <w:color w:val="000000" w:themeColor="text1"/>
                <w:sz w:val="24"/>
                <w:szCs w:val="24"/>
                <w:highlight w:val="none"/>
                <w14:textFill>
                  <w14:solidFill>
                    <w14:schemeClr w14:val="tx1"/>
                  </w14:solidFill>
                </w14:textFill>
              </w:rPr>
              <w:t>对其报价给予20%的扣除，扣除后的价格作为该</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价参与价格评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065EDE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联合体各方均为小型、微型企业的，联合体视同为小型、微型企业享受本办法第四条、第五条规定的扶持政策。</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组成联合体的大中型企业和其他自然人、法人或者其他组织，与小型、微型企业之间不得存在投资关系。</w:t>
            </w:r>
          </w:p>
          <w:p w14:paraId="504E3FB0">
            <w:pPr>
              <w:pStyle w:val="24"/>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14:paraId="7062EF7F">
            <w:pPr>
              <w:spacing w:line="360" w:lineRule="auto"/>
              <w:ind w:firstLine="480"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若本项目属于预留份额专门面向中小企业采购活动，</w:t>
            </w:r>
            <w:r>
              <w:rPr>
                <w:rFonts w:hint="eastAsia" w:ascii="宋体" w:hAnsi="宋体" w:eastAsia="宋体" w:cs="宋体"/>
                <w:color w:val="000000" w:themeColor="text1"/>
                <w:sz w:val="24"/>
                <w:szCs w:val="24"/>
                <w:highlight w:val="none"/>
                <w14:textFill>
                  <w14:solidFill>
                    <w14:schemeClr w14:val="tx1"/>
                  </w14:solidFill>
                </w14:textFill>
              </w:rPr>
              <w:t>不再执行价格评审优惠的扶持政策。</w:t>
            </w:r>
          </w:p>
        </w:tc>
      </w:tr>
      <w:tr w14:paraId="445B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5862D2C1">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14:paraId="1AADD3AE">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cs="宋体"/>
                <w:color w:val="000000" w:themeColor="text1"/>
                <w:sz w:val="24"/>
                <w:szCs w:val="24"/>
                <w:highlight w:val="none"/>
                <w14:textFill>
                  <w14:solidFill>
                    <w14:schemeClr w14:val="tx1"/>
                  </w14:solidFill>
                </w14:textFill>
              </w:rPr>
              <w:t>其他未列明行业</w:t>
            </w:r>
            <w:r>
              <w:rPr>
                <w:rFonts w:hint="eastAsia" w:ascii="宋体" w:hAnsi="宋体" w:eastAsia="宋体" w:cs="宋体"/>
                <w:color w:val="000000" w:themeColor="text1"/>
                <w:sz w:val="24"/>
                <w:szCs w:val="24"/>
                <w:highlight w:val="none"/>
                <w:u w:val="none"/>
                <w14:textFill>
                  <w14:solidFill>
                    <w14:schemeClr w14:val="tx1"/>
                  </w14:solidFill>
                </w14:textFill>
              </w:rPr>
              <w:t>。</w:t>
            </w:r>
          </w:p>
        </w:tc>
        <w:tc>
          <w:tcPr>
            <w:tcW w:w="6256" w:type="dxa"/>
            <w:tcBorders>
              <w:bottom w:val="single" w:color="auto" w:sz="4" w:space="0"/>
            </w:tcBorders>
            <w:noWrap w:val="0"/>
            <w:vAlign w:val="top"/>
          </w:tcPr>
          <w:p w14:paraId="3CABAB2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14:paraId="5102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298C4D29">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14:paraId="3A171845">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14:paraId="684E47A1">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w:t>
            </w: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将不被视为中小企业：</w:t>
            </w:r>
          </w:p>
          <w:p w14:paraId="7CF2CF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不符合“工信部联企业[2011]300号”规定的中小企业标准的；</w:t>
            </w:r>
          </w:p>
          <w:p w14:paraId="39C80C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14:paraId="348B65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中标明的中小企业产品的制造商不符合“工信部联企业[2011]300号”规定的中小企业标准的；</w:t>
            </w:r>
          </w:p>
          <w:p w14:paraId="33F71856">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14:paraId="58860E8A">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为取得中小企业身份而提供虚假证明材料，在评审过程中发现的，按无效响应处理，磋商保证金不予退还；已取得成交资格的，无论该行为是否影响成交，均取消其成交资格，磋商保证金、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还应承担由此引起的其他经济、法律责任。出现此种情形时，采购人、采购代理机构将有关情况上报政府采购监管部门，由监管部门按有关规定对其进行相应处罚。</w:t>
            </w:r>
          </w:p>
          <w:p w14:paraId="2CCD7AE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列入不良行为记录名单，在一至三年内禁止该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w:t>
            </w:r>
            <w:r>
              <w:rPr>
                <w:rFonts w:hint="eastAsia" w:ascii="宋体" w:hAnsi="宋体" w:cs="宋体"/>
                <w:b/>
                <w:i/>
                <w:color w:val="000000" w:themeColor="text1"/>
                <w:kern w:val="0"/>
                <w:sz w:val="24"/>
                <w:szCs w:val="24"/>
                <w:highlight w:val="none"/>
                <w:u w:val="single"/>
                <w:lang w:eastAsia="zh-CN"/>
                <w14:textFill>
                  <w14:solidFill>
                    <w14:schemeClr w14:val="tx1"/>
                  </w14:solidFill>
                </w14:textFill>
              </w:rPr>
              <w:t>供应商</w:t>
            </w:r>
            <w:r>
              <w:rPr>
                <w:rFonts w:hint="eastAsia" w:ascii="宋体" w:hAnsi="宋体" w:eastAsia="宋体" w:cs="宋体"/>
                <w:b/>
                <w:i/>
                <w:color w:val="000000" w:themeColor="text1"/>
                <w:kern w:val="0"/>
                <w:sz w:val="24"/>
                <w:szCs w:val="24"/>
                <w:highlight w:val="none"/>
                <w:u w:val="single"/>
                <w14:textFill>
                  <w14:solidFill>
                    <w14:schemeClr w14:val="tx1"/>
                  </w14:solidFill>
                </w14:textFill>
              </w:rPr>
              <w:t>自行承担。）</w:t>
            </w:r>
          </w:p>
        </w:tc>
      </w:tr>
    </w:tbl>
    <w:p w14:paraId="4A784824">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14:paraId="40CD6CF8">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14:paraId="6F74E3D8">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14:paraId="656769D0">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53FCB60C">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39DBD964">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2D05BDE4">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112474F2">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242E24F0">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0194EBED">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6441BDA2">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14:paraId="478D3D06">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32"/>
          <w:szCs w:val="32"/>
          <w:highlight w:val="none"/>
          <w:u w:val="single"/>
          <w:lang w:val="en-US"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u w:val="single"/>
          <w14:textFill>
            <w14:solidFill>
              <w14:schemeClr w14:val="tx1"/>
            </w14:solidFill>
          </w14:textFill>
        </w:rPr>
        <w:t>须知前附表5：节能、环境标志产品采购政策</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78B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0DDD912">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节能、环境标志产品优先采购政策</w:t>
            </w:r>
          </w:p>
          <w:p w14:paraId="32AA4D4C">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须对优先采购产品和非优先采购产品进行分项报价，非优先采购产品的报价不得享受给予节能产品、环境标志产品的价格扣除优惠。</w:t>
            </w:r>
          </w:p>
          <w:p w14:paraId="5CC1FAF1">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具体要求如下：</w:t>
            </w:r>
          </w:p>
          <w:p w14:paraId="02135EB1">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439DA0AB">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应分别明确节能或环境标志产品的名称、数量、分项报价、总报价，并提供认证证书复印件，否则不予价格扣除。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若节能产品、环境标志产品认证证书不能反映产品具体信息的，须提供认证证书附件。</w:t>
            </w:r>
          </w:p>
          <w:p w14:paraId="4422BA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此外，若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对节能或环境标志产品的报价明显高于其他同类产品的报价，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w:t>
            </w: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tc>
      </w:tr>
    </w:tbl>
    <w:p w14:paraId="3BADD1B0">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56562914">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53862A6B">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5806B2E">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C697EB8">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549711C2">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3D78CC94">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3CCC7D97">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 xml:space="preserve">第二章  </w:t>
      </w:r>
      <w:r>
        <w:rPr>
          <w:rFonts w:hint="eastAsia" w:hAnsi="宋体" w:cs="宋体"/>
          <w:b/>
          <w:color w:val="000000" w:themeColor="text1"/>
          <w:sz w:val="32"/>
          <w:szCs w:val="32"/>
          <w:highlight w:val="none"/>
          <w:lang w:eastAsia="zh-CN"/>
          <w14:textFill>
            <w14:solidFill>
              <w14:schemeClr w14:val="tx1"/>
            </w14:solidFill>
          </w14:textFill>
        </w:rPr>
        <w:t>供应商</w:t>
      </w:r>
      <w:r>
        <w:rPr>
          <w:rFonts w:hint="eastAsia" w:hAnsi="宋体" w:eastAsia="宋体" w:cs="宋体"/>
          <w:b/>
          <w:color w:val="000000" w:themeColor="text1"/>
          <w:sz w:val="32"/>
          <w:szCs w:val="32"/>
          <w:highlight w:val="none"/>
          <w14:textFill>
            <w14:solidFill>
              <w14:schemeClr w14:val="tx1"/>
            </w14:solidFill>
          </w14:textFill>
        </w:rPr>
        <w:t>须知</w:t>
      </w:r>
    </w:p>
    <w:p w14:paraId="6C510D75">
      <w:pPr>
        <w:pStyle w:val="12"/>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390A772">
      <w:pPr>
        <w:pStyle w:val="12"/>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一、说明</w:t>
      </w:r>
    </w:p>
    <w:p w14:paraId="6B07C200">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14:paraId="3BC0DED7">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1.1本采购文件仅适用于邀请中所叙述项目的服务采购。</w:t>
      </w:r>
    </w:p>
    <w:p w14:paraId="2E4F8271">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14:paraId="40B2CD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14:paraId="7CA1BBA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14:paraId="2EBAF4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14:paraId="6C4F2946">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”系指购买了本采购文件，且已经提交或准备提交</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的服务商或承包商。</w:t>
      </w:r>
    </w:p>
    <w:p w14:paraId="5F03585D">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2.5 “货物”系指指各种形态和和种类的物品，包括原材料、燃料、设备、产品等。</w:t>
      </w:r>
    </w:p>
    <w:p w14:paraId="574324EF">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14:paraId="1330693D">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2.7“服务”系指除货物和工程以外的其他政府采购对象。</w:t>
      </w:r>
    </w:p>
    <w:p w14:paraId="0A8435E1">
      <w:pPr>
        <w:pStyle w:val="12"/>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w:t>
      </w:r>
      <w:r>
        <w:rPr>
          <w:rFonts w:hint="eastAsia" w:hAnsi="宋体" w:cs="宋体"/>
          <w:b/>
          <w:color w:val="000000" w:themeColor="text1"/>
          <w:sz w:val="24"/>
          <w:szCs w:val="24"/>
          <w:highlight w:val="none"/>
          <w:lang w:eastAsia="zh-CN"/>
          <w14:textFill>
            <w14:solidFill>
              <w14:schemeClr w14:val="tx1"/>
            </w14:solidFill>
          </w14:textFill>
        </w:rPr>
        <w:t>供应商</w:t>
      </w:r>
    </w:p>
    <w:p w14:paraId="098295C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均可能成为合格的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150500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具备《中华人民共和国政府采购法》第二十二条第一款规定的条件，应提供以下材料：</w:t>
      </w:r>
    </w:p>
    <w:p w14:paraId="14FAF61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w:t>
      </w:r>
    </w:p>
    <w:p w14:paraId="5A55BFD0">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提供福建省</w:t>
      </w:r>
      <w:r>
        <w:rPr>
          <w:rFonts w:hint="eastAsia" w:ascii="宋体" w:hAnsi="宋体" w:eastAsia="宋体" w:cs="宋体"/>
          <w:color w:val="000000" w:themeColor="text1"/>
          <w:sz w:val="24"/>
          <w:szCs w:val="24"/>
          <w:highlight w:val="none"/>
          <w14:textFill>
            <w14:solidFill>
              <w14:schemeClr w14:val="tx1"/>
            </w14:solidFill>
          </w14:textFill>
        </w:rPr>
        <w:t>政府采购供应商资格承诺函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243ECFF">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全权代表若不是单位负责人，应提供单位授权书原件，并提供被授权代表身份证复印件。</w:t>
      </w:r>
    </w:p>
    <w:p w14:paraId="5A6C41E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应遵守有关法律、法规和规章的规定，同时其响应货物或服务也应符合有关法律、法规和规章的规定。</w:t>
      </w:r>
    </w:p>
    <w:p w14:paraId="2444FFA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只能提交一个</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。如果</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之间存在下列互为关联关系的情形之一的，不得同时参加本项目同一合同包响应：</w:t>
      </w:r>
    </w:p>
    <w:p w14:paraId="76E6CA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1B56F7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20E792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651527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40831CC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可以组成一个响应联合体，以一个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的身份响应。</w:t>
      </w:r>
    </w:p>
    <w:p w14:paraId="4DE8D5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相关规定。采购人根据采购项目的特殊要求规定</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特定条件的，联合体各方中至少应当有一方符合采购人规定的特定条件，如联合体各方中没有一方符合特定条件的，该联合体响应无效。</w:t>
      </w:r>
    </w:p>
    <w:p w14:paraId="25FE0CF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一并提交采购代理机构。联合体各方签订共同磋商协议后，不得再以自己名义单独在同一项目中响应，也不得组成新的联合体参加同一项目响应。</w:t>
      </w:r>
    </w:p>
    <w:p w14:paraId="57530E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中仅加盖联合体一方公章的相关文件，对联合体各方均具有约束力。</w:t>
      </w:r>
    </w:p>
    <w:p w14:paraId="4B919F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承担。联合体协议及签订的采购合同应包含此项内容。</w:t>
      </w:r>
    </w:p>
    <w:p w14:paraId="12485013">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按照联合体分工承担相同工作的，应当按照资质等级较低的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确定资质等级。</w:t>
      </w:r>
    </w:p>
    <w:p w14:paraId="1EECA92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的委托参加磋商响应。</w:t>
      </w:r>
    </w:p>
    <w:p w14:paraId="4667806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存在下列情形之一的，将被认定为串通响应行为并作无效响应处理：</w:t>
      </w:r>
    </w:p>
    <w:p w14:paraId="735DAE1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之间协商磋商报价等采购文件的实质性内容；</w:t>
      </w:r>
    </w:p>
    <w:p w14:paraId="61AFD5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之间约定成交供应商；</w:t>
      </w:r>
    </w:p>
    <w:p w14:paraId="29557F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之间约定部分</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放弃磋商响应或者成交；</w:t>
      </w:r>
    </w:p>
    <w:p w14:paraId="396D06E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按照该组织要求协同磋商响应；</w:t>
      </w:r>
    </w:p>
    <w:p w14:paraId="53A63FE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之间为谋取成交或者排斥特定</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而采取的其他联合行动；</w:t>
      </w:r>
    </w:p>
    <w:p w14:paraId="3A89AEC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由同一单位或者个人编制；</w:t>
      </w:r>
    </w:p>
    <w:p w14:paraId="5A32AF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委托同一单位或者个人办理磋商响应事宜；</w:t>
      </w:r>
    </w:p>
    <w:p w14:paraId="7FB45DA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载明的项目管理成员为同一人；</w:t>
      </w:r>
    </w:p>
    <w:p w14:paraId="0362CB8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异常一致或者报价呈规律性差异；</w:t>
      </w:r>
    </w:p>
    <w:p w14:paraId="5FC82B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相互混装；</w:t>
      </w:r>
    </w:p>
    <w:p w14:paraId="79D2B9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的磋商保证金从同一单位或者个人的账户转出。</w:t>
      </w:r>
    </w:p>
    <w:p w14:paraId="0290A4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错、漏之处一致或雷同，且不能合理解释的；</w:t>
      </w:r>
    </w:p>
    <w:p w14:paraId="3D324F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的法定代表人、委托代理人等由同一个单位缴纳社会保险的；</w:t>
      </w:r>
    </w:p>
    <w:p w14:paraId="000BA8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的企业资料参与资格审查、领取采购资料，或代表两个以上（含两个）</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参加项目答疑会、交纳或退还磋商保证金、参加磋商的；</w:t>
      </w:r>
    </w:p>
    <w:p w14:paraId="253FED5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14:paraId="557559D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464F0D3">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4.磋商费用</w:t>
      </w:r>
    </w:p>
    <w:p w14:paraId="3E530331">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4.1 </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应承担其准备与参加磋商所涉及的一切费用。</w:t>
      </w:r>
    </w:p>
    <w:p w14:paraId="48E3203F">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14:paraId="646ACD04">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5.1 </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应保证在本项目使用任何产品或其任何一部分时，不会产生因第三方提出侵犯其专利权、商标权或其它知识产权而引起的法律和经济责任。因此产生的法律和经济责任由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承担。</w:t>
      </w:r>
    </w:p>
    <w:p w14:paraId="72FAEFAC">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5.2如</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不拥有相应的知识产权，则在报价中必须包括合法获取该知识产权的相关费用。</w:t>
      </w:r>
    </w:p>
    <w:p w14:paraId="795FAC8F">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5B7DDEFE">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37021B52">
      <w:pPr>
        <w:pStyle w:val="68"/>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二、 采购文件</w:t>
      </w:r>
    </w:p>
    <w:p w14:paraId="14E1706C">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14:paraId="15F59BA4">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14:paraId="0D1FDB96">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（1）磋商邀请</w:t>
      </w:r>
    </w:p>
    <w:p w14:paraId="207DB551">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须知</w:t>
      </w:r>
    </w:p>
    <w:p w14:paraId="463AE2B0">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（3）采购内容及要求</w:t>
      </w:r>
    </w:p>
    <w:p w14:paraId="1EF236A2">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（4）政府采购合同</w:t>
      </w:r>
    </w:p>
    <w:p w14:paraId="1AD29C4D">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格式</w:t>
      </w:r>
    </w:p>
    <w:p w14:paraId="0912F221">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（6）相关的补充、修改文件</w:t>
      </w:r>
    </w:p>
    <w:p w14:paraId="382ED09A">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7.采购文件的澄清与修改</w:t>
      </w:r>
    </w:p>
    <w:p w14:paraId="6E12B206">
      <w:pPr>
        <w:pStyle w:val="5"/>
        <w:snapToGrid w:val="0"/>
        <w:spacing w:line="360" w:lineRule="auto"/>
        <w:ind w:firstLine="420"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cs="宋体"/>
          <w:color w:val="000000" w:themeColor="text1"/>
          <w:sz w:val="24"/>
          <w:szCs w:val="24"/>
          <w:highlight w:val="none"/>
          <w:lang w:eastAsia="zh-CN"/>
          <w14:textFill>
            <w14:solidFill>
              <w14:schemeClr w14:val="tx1"/>
            </w14:solidFill>
          </w14:textFill>
        </w:rPr>
        <w:t>采购代理机构</w:t>
      </w:r>
      <w:r>
        <w:rPr>
          <w:rFonts w:hint="eastAsia" w:eastAsia="宋体" w:cs="宋体"/>
          <w:bCs/>
          <w:color w:val="000000" w:themeColor="text1"/>
          <w:sz w:val="24"/>
          <w:szCs w:val="24"/>
          <w:highlight w:val="none"/>
          <w14:textFill>
            <w14:solidFill>
              <w14:schemeClr w14:val="tx1"/>
            </w14:solidFill>
          </w14:textFill>
        </w:rPr>
        <w:t>可主动或依</w:t>
      </w:r>
      <w:r>
        <w:rPr>
          <w:rFonts w:hint="eastAsia" w:cs="宋体"/>
          <w:bCs/>
          <w:color w:val="000000" w:themeColor="text1"/>
          <w:sz w:val="24"/>
          <w:szCs w:val="24"/>
          <w:highlight w:val="none"/>
          <w:lang w:eastAsia="zh-CN"/>
          <w14:textFill>
            <w14:solidFill>
              <w14:schemeClr w14:val="tx1"/>
            </w14:solidFill>
          </w14:textFill>
        </w:rPr>
        <w:t>供应商</w:t>
      </w:r>
      <w:r>
        <w:rPr>
          <w:rFonts w:hint="eastAsia" w:eastAsia="宋体" w:cs="宋体"/>
          <w:bCs/>
          <w:color w:val="000000" w:themeColor="text1"/>
          <w:sz w:val="24"/>
          <w:szCs w:val="24"/>
          <w:highlight w:val="none"/>
          <w14:textFill>
            <w14:solidFill>
              <w14:schemeClr w14:val="tx1"/>
            </w14:solidFill>
          </w14:textFill>
        </w:rPr>
        <w:t>要求澄清的问题修改采购文件，但应当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并以书面形式通知所有采购文件收受人，</w:t>
      </w:r>
      <w:r>
        <w:rPr>
          <w:rFonts w:hint="eastAsia" w:cs="宋体"/>
          <w:bCs/>
          <w:color w:val="000000" w:themeColor="text1"/>
          <w:sz w:val="24"/>
          <w:szCs w:val="24"/>
          <w:highlight w:val="none"/>
          <w:lang w:eastAsia="zh-CN"/>
          <w14:textFill>
            <w14:solidFill>
              <w14:schemeClr w14:val="tx1"/>
            </w14:solidFill>
          </w14:textFill>
        </w:rPr>
        <w:t>供应商</w:t>
      </w:r>
      <w:r>
        <w:rPr>
          <w:rFonts w:hint="eastAsia" w:eastAsia="宋体" w:cs="宋体"/>
          <w:bCs/>
          <w:color w:val="000000" w:themeColor="text1"/>
          <w:sz w:val="24"/>
          <w:szCs w:val="24"/>
          <w:highlight w:val="none"/>
          <w14:textFill>
            <w14:solidFill>
              <w14:schemeClr w14:val="tx1"/>
            </w14:solidFill>
          </w14:textFill>
        </w:rPr>
        <w:t>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（如属网上采购项目</w:t>
      </w:r>
      <w:r>
        <w:rPr>
          <w:rFonts w:hint="eastAsia" w:eastAsia="宋体"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该修改内容为采购文件的组成部分，对</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具有约束力。但</w:t>
      </w:r>
      <w:r>
        <w:rPr>
          <w:rFonts w:hint="eastAsia" w:eastAsia="宋体" w:cs="宋体"/>
          <w:bCs/>
          <w:color w:val="000000" w:themeColor="text1"/>
          <w:sz w:val="24"/>
          <w:szCs w:val="24"/>
          <w:highlight w:val="none"/>
          <w14:textFill>
            <w14:solidFill>
              <w14:schemeClr w14:val="tx1"/>
            </w14:solidFill>
          </w14:textFill>
        </w:rPr>
        <w:t>本采购文件第7.2条规定的推迟响应截止时间情形不受本条约束。</w:t>
      </w:r>
    </w:p>
    <w:p w14:paraId="2E6FF6FD">
      <w:pPr>
        <w:pStyle w:val="5"/>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7.2为使</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在准备</w:t>
      </w:r>
      <w:r>
        <w:rPr>
          <w:rFonts w:hint="default" w:cs="宋体"/>
          <w:color w:val="000000" w:themeColor="text1"/>
          <w:sz w:val="24"/>
          <w:szCs w:val="24"/>
          <w:highlight w:val="none"/>
          <w:lang w:val="en-US"/>
          <w14:textFill>
            <w14:solidFill>
              <w14:schemeClr w14:val="tx1"/>
            </w14:solidFill>
          </w14:textFill>
        </w:rPr>
        <w:t>磋商响应文件</w:t>
      </w:r>
      <w:r>
        <w:rPr>
          <w:rFonts w:hint="eastAsia" w:eastAsia="宋体" w:cs="宋体"/>
          <w:color w:val="000000" w:themeColor="text1"/>
          <w:sz w:val="24"/>
          <w:szCs w:val="24"/>
          <w:highlight w:val="none"/>
          <w14:textFill>
            <w14:solidFill>
              <w14:schemeClr w14:val="tx1"/>
            </w14:solidFill>
          </w14:textFill>
        </w:rPr>
        <w:t>时有合理的时间考虑</w:t>
      </w:r>
      <w:r>
        <w:rPr>
          <w:rFonts w:hint="default" w:cs="宋体"/>
          <w:color w:val="000000" w:themeColor="text1"/>
          <w:sz w:val="24"/>
          <w:szCs w:val="24"/>
          <w:highlight w:val="none"/>
          <w:lang w:val="en-US"/>
          <w14:textFill>
            <w14:solidFill>
              <w14:schemeClr w14:val="tx1"/>
            </w14:solidFill>
          </w14:textFill>
        </w:rPr>
        <w:t>磋商响应文件</w:t>
      </w:r>
      <w:r>
        <w:rPr>
          <w:rFonts w:hint="eastAsia" w:eastAsia="宋体" w:cs="宋体"/>
          <w:color w:val="000000" w:themeColor="text1"/>
          <w:sz w:val="24"/>
          <w:szCs w:val="24"/>
          <w:highlight w:val="none"/>
          <w14:textFill>
            <w14:solidFill>
              <w14:schemeClr w14:val="tx1"/>
            </w14:solidFill>
          </w14:textFill>
        </w:rPr>
        <w:t>的修改，采购代理机构可酌情推迟磋商响应截止时间，但应当至少在截止时间3个工作日前将变更时间以书面形式通知所有获取采购文件的</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，该修改内容为采购文件的组成部分。在此情况下，采购人和</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受磋商响应截止期制约的所有权利和义务均应延长至新的截止日期。</w:t>
      </w:r>
    </w:p>
    <w:p w14:paraId="230CFBC2">
      <w:pPr>
        <w:pStyle w:val="5"/>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p>
    <w:p w14:paraId="45C001AE">
      <w:pPr>
        <w:pStyle w:val="5"/>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14:textFill>
            <w14:solidFill>
              <w14:schemeClr w14:val="tx1"/>
            </w14:solidFill>
          </w14:textFill>
        </w:rPr>
        <w:t>三、</w:t>
      </w:r>
      <w:r>
        <w:rPr>
          <w:rFonts w:hint="default" w:cs="宋体"/>
          <w:b/>
          <w:color w:val="000000" w:themeColor="text1"/>
          <w:sz w:val="32"/>
          <w:szCs w:val="32"/>
          <w:highlight w:val="none"/>
          <w:lang w:val="en-US"/>
          <w14:textFill>
            <w14:solidFill>
              <w14:schemeClr w14:val="tx1"/>
            </w14:solidFill>
          </w14:textFill>
        </w:rPr>
        <w:t>磋商响应文件</w:t>
      </w:r>
      <w:r>
        <w:rPr>
          <w:rFonts w:hint="eastAsia" w:eastAsia="宋体" w:cs="宋体"/>
          <w:b/>
          <w:color w:val="000000" w:themeColor="text1"/>
          <w:sz w:val="32"/>
          <w:szCs w:val="32"/>
          <w:highlight w:val="none"/>
          <w14:textFill>
            <w14:solidFill>
              <w14:schemeClr w14:val="tx1"/>
            </w14:solidFill>
          </w14:textFill>
        </w:rPr>
        <w:t>的编写</w:t>
      </w:r>
    </w:p>
    <w:p w14:paraId="4B98FB1D">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14:paraId="7D557A3E">
      <w:pPr>
        <w:pStyle w:val="12"/>
        <w:spacing w:line="360" w:lineRule="auto"/>
        <w:ind w:firstLine="48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应仔细阅读采购文件的所有内容，按采购文件的要求提供</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应对采购文件的要求作出实质性响应，并保证所提供的全部资料的真实性，否则其</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可被作响应无效处理。</w:t>
      </w:r>
    </w:p>
    <w:p w14:paraId="18D9EB90">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应按参加响应的合同包进行报价，同时，应对所报价合同包下的所有品目号进行报价。采购人不接受有任何可选择性的报价，每一种货物、服务、工程只能有一个报价。</w:t>
      </w:r>
    </w:p>
    <w:p w14:paraId="01385121">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9.</w:t>
      </w:r>
      <w:r>
        <w:rPr>
          <w:rFonts w:hint="default" w:hAnsi="宋体" w:cs="宋体"/>
          <w:b/>
          <w:color w:val="000000" w:themeColor="text1"/>
          <w:sz w:val="24"/>
          <w:szCs w:val="24"/>
          <w:highlight w:val="none"/>
          <w:lang w:val="en-US"/>
          <w14:textFill>
            <w14:solidFill>
              <w14:schemeClr w14:val="tx1"/>
            </w14:solidFill>
          </w14:textFill>
        </w:rPr>
        <w:t>磋商响应文件</w:t>
      </w:r>
      <w:r>
        <w:rPr>
          <w:rFonts w:hint="eastAsia" w:hAnsi="宋体" w:eastAsia="宋体" w:cs="宋体"/>
          <w:b/>
          <w:color w:val="000000" w:themeColor="text1"/>
          <w:sz w:val="24"/>
          <w:szCs w:val="24"/>
          <w:highlight w:val="none"/>
          <w14:textFill>
            <w14:solidFill>
              <w14:schemeClr w14:val="tx1"/>
            </w14:solidFill>
          </w14:textFill>
        </w:rPr>
        <w:t>语言及报价要求</w:t>
      </w:r>
    </w:p>
    <w:p w14:paraId="383F36CE">
      <w:pPr>
        <w:pStyle w:val="12"/>
        <w:spacing w:line="360" w:lineRule="auto"/>
        <w:ind w:firstLine="480" w:firstLineChars="200"/>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9.1</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应用中文书写。</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中所附或所引用的原件不是中文时，应附中文译文。各种计量单位及符号应采用国际上统一使用的公制计量单位和符号。</w:t>
      </w:r>
    </w:p>
    <w:p w14:paraId="054E1069">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10.</w:t>
      </w:r>
      <w:r>
        <w:rPr>
          <w:rFonts w:hint="default" w:hAnsi="宋体" w:cs="宋体"/>
          <w:b/>
          <w:color w:val="000000" w:themeColor="text1"/>
          <w:sz w:val="24"/>
          <w:szCs w:val="24"/>
          <w:highlight w:val="none"/>
          <w:lang w:val="en-US"/>
          <w14:textFill>
            <w14:solidFill>
              <w14:schemeClr w14:val="tx1"/>
            </w14:solidFill>
          </w14:textFill>
        </w:rPr>
        <w:t>磋商响应文件</w:t>
      </w:r>
      <w:r>
        <w:rPr>
          <w:rFonts w:hint="eastAsia" w:hAnsi="宋体" w:eastAsia="宋体" w:cs="宋体"/>
          <w:b/>
          <w:color w:val="000000" w:themeColor="text1"/>
          <w:sz w:val="24"/>
          <w:szCs w:val="24"/>
          <w:highlight w:val="none"/>
          <w14:textFill>
            <w14:solidFill>
              <w14:schemeClr w14:val="tx1"/>
            </w14:solidFill>
          </w14:textFill>
        </w:rPr>
        <w:t>的组成</w:t>
      </w:r>
    </w:p>
    <w:p w14:paraId="7CDFAA02">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10.1</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应包括下列部分：</w:t>
      </w:r>
    </w:p>
    <w:p w14:paraId="72E4D4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14:paraId="0032839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14:paraId="4BDEAD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(3)磋商分项报价表</w:t>
      </w:r>
    </w:p>
    <w:p w14:paraId="27AAD45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项目说明一览表</w:t>
      </w:r>
    </w:p>
    <w:p w14:paraId="20219B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范围清单</w:t>
      </w:r>
    </w:p>
    <w:p w14:paraId="5EA46E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7EC817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资格证明文件</w:t>
      </w:r>
    </w:p>
    <w:p w14:paraId="50DF8484">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cs="宋体"/>
          <w:color w:val="000000" w:themeColor="text1"/>
          <w:sz w:val="24"/>
          <w:szCs w:val="24"/>
          <w:highlight w:val="none"/>
          <w:lang w:eastAsia="zh-CN"/>
          <w14:textFill>
            <w14:solidFill>
              <w14:schemeClr w14:val="tx1"/>
            </w14:solidFill>
          </w14:textFill>
        </w:rPr>
        <w:t>书面承诺（格式自拟）</w:t>
      </w:r>
    </w:p>
    <w:p w14:paraId="2CE923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磋商保证金</w:t>
      </w:r>
    </w:p>
    <w:p w14:paraId="39A86FF4">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应交的其他资料</w:t>
      </w:r>
    </w:p>
    <w:p w14:paraId="465BF8E9">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11.</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14:paraId="3B65E080">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从</w:t>
      </w:r>
      <w:r>
        <w:rPr>
          <w:rFonts w:hint="eastAsia" w:hAnsi="宋体" w:cs="宋体"/>
          <w:bCs/>
          <w:color w:val="000000" w:themeColor="text1"/>
          <w:sz w:val="24"/>
          <w:szCs w:val="24"/>
          <w:highlight w:val="none"/>
          <w:lang w:eastAsia="zh-CN"/>
          <w14:textFill>
            <w14:solidFill>
              <w14:schemeClr w14:val="tx1"/>
            </w14:solidFill>
          </w14:textFill>
        </w:rPr>
        <w:t>供应商</w:t>
      </w:r>
      <w:r>
        <w:rPr>
          <w:rFonts w:hint="eastAsia" w:hAnsi="宋体" w:eastAsia="宋体" w:cs="宋体"/>
          <w:bCs/>
          <w:color w:val="000000" w:themeColor="text1"/>
          <w:sz w:val="24"/>
          <w:szCs w:val="24"/>
          <w:highlight w:val="none"/>
          <w14:textFill>
            <w14:solidFill>
              <w14:schemeClr w14:val="tx1"/>
            </w14:solidFill>
          </w14:textFill>
        </w:rPr>
        <w:t>须知前附表1</w:t>
      </w:r>
      <w:r>
        <w:rPr>
          <w:rFonts w:hint="eastAsia" w:hAnsi="宋体" w:eastAsia="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cs="宋体"/>
          <w:bCs/>
          <w:color w:val="000000" w:themeColor="text1"/>
          <w:sz w:val="24"/>
          <w:szCs w:val="24"/>
          <w:highlight w:val="none"/>
          <w:lang w:eastAsia="zh-CN"/>
          <w14:textFill>
            <w14:solidFill>
              <w14:schemeClr w14:val="tx1"/>
            </w14:solidFill>
          </w14:textFill>
        </w:rPr>
        <w:t>供应商</w:t>
      </w:r>
      <w:r>
        <w:rPr>
          <w:rFonts w:hint="eastAsia" w:hAnsi="宋体" w:eastAsia="宋体" w:cs="宋体"/>
          <w:bCs/>
          <w:color w:val="000000" w:themeColor="text1"/>
          <w:sz w:val="24"/>
          <w:szCs w:val="24"/>
          <w:highlight w:val="none"/>
          <w14:textFill>
            <w14:solidFill>
              <w14:schemeClr w14:val="tx1"/>
            </w14:solidFill>
          </w14:textFill>
        </w:rPr>
        <w:t>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被拒绝。</w:t>
      </w:r>
    </w:p>
    <w:p w14:paraId="7BF297BB">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11.2特殊情况下采购代理机构可于磋商有效期满之前书面要求</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同意延长有效期，</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应在采购代理机构规定的期限内以书面形式予以答复。</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可以拒绝上述要求而其磋商保证金可按规定予以退还。</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答复不明确或者逾期未答复的，均视为拒绝上述要求。对于接受该要求的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，既不要求也不允许其修改</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 xml:space="preserve">，但将要求其相应延长磋商保证金有效期，有关退还和不予退还磋商保证金的规定在报价有效期延长期内继续有效。      </w:t>
      </w:r>
    </w:p>
    <w:p w14:paraId="082921C5">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12.磋商保证金</w:t>
      </w:r>
    </w:p>
    <w:p w14:paraId="692B9730">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12.1 磋商保证金为</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的组成部分之一。</w:t>
      </w:r>
    </w:p>
    <w:p w14:paraId="5C740A2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应在提交</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之前向采购代理机构指定的政府采购保证金专户缴交</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须知前附表要求的磋商保证金。联合体参加磋商的，可以由联合体中的一方或者共同提交磋商保证金，以一方名义提交磋商保证金的，对联合体各方均具有约束力。</w:t>
      </w:r>
    </w:p>
    <w:p w14:paraId="184CE94D">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12.3 磋商保证金用于保护本次磋商活动免受</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的行为而引起的风险。</w:t>
      </w:r>
    </w:p>
    <w:p w14:paraId="6AD0CA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12.4磋商保证金交纳方式及其它：</w:t>
      </w:r>
    </w:p>
    <w:p w14:paraId="1E7A564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065C0673">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②若项目存在分包的，则磋商保证金应按不同的合同包号分别提交。</w:t>
      </w:r>
    </w:p>
    <w:p w14:paraId="73025C8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为中小企业的，其磋商保证金减半交纳。减半交纳磋商保证金的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未按照采购文件格式要求在</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中提供《中小企业声明函》的，其磋商响应作无效响应处理。</w:t>
      </w:r>
    </w:p>
    <w:p w14:paraId="6A32DB8C">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12.5 未按要求提交磋商保证金的磋商响应，将被视为无效响应。</w:t>
      </w:r>
    </w:p>
    <w:p w14:paraId="3E274413">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w:t>
      </w:r>
    </w:p>
    <w:p w14:paraId="15433DF9">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12.7在成交供应商支付所有</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并签订合同后5个工作日内，采购代理机构对成交供应商的磋商保证金予以原额无息退还。</w:t>
      </w:r>
    </w:p>
    <w:p w14:paraId="7D677FF5">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12.8磋商保证金产生的银行利息统一上缴市财政。</w:t>
      </w:r>
    </w:p>
    <w:p w14:paraId="0E2857BD">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14:paraId="13E5452C">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在提交最后报价后，撤回磋商响应；</w:t>
      </w:r>
    </w:p>
    <w:p w14:paraId="3830D1B6">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14:paraId="584ABB82">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（3）成交供应商未按本须知规定缴纳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27C7C0DE">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14:paraId="4C5A7839">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在</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中提供虚假材料的；</w:t>
      </w:r>
    </w:p>
    <w:p w14:paraId="194029AD">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（6）在禁止参加政府采购活动的处罚期内，仍参加政府采购活动的；</w:t>
      </w:r>
    </w:p>
    <w:p w14:paraId="1EF64F28">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（7）以不正当手段诋毁、排挤其他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的；</w:t>
      </w:r>
    </w:p>
    <w:p w14:paraId="0ED1C1B9">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（8）因本项目政府采购过程中的违法行为，受到行政处罚的；</w:t>
      </w:r>
    </w:p>
    <w:p w14:paraId="60A6CB67">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（9）与采购人、其他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或者采购代理机构恶意串通的；</w:t>
      </w:r>
    </w:p>
    <w:p w14:paraId="35A148DE">
      <w:pPr>
        <w:pStyle w:val="12"/>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（10）法律、法规、规章及本采购文件中规定的其他没收磋商保证金的情形。</w:t>
      </w:r>
    </w:p>
    <w:p w14:paraId="6A58F705">
      <w:pPr>
        <w:pStyle w:val="12"/>
        <w:spacing w:line="360" w:lineRule="auto"/>
        <w:ind w:firstLine="840" w:firstLineChars="3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14:paraId="1D59F01E">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13.</w:t>
      </w:r>
      <w:r>
        <w:rPr>
          <w:rFonts w:hint="default" w:hAnsi="宋体" w:cs="宋体"/>
          <w:b/>
          <w:color w:val="000000" w:themeColor="text1"/>
          <w:sz w:val="24"/>
          <w:szCs w:val="24"/>
          <w:highlight w:val="none"/>
          <w:lang w:val="en-US"/>
          <w14:textFill>
            <w14:solidFill>
              <w14:schemeClr w14:val="tx1"/>
            </w14:solidFill>
          </w14:textFill>
        </w:rPr>
        <w:t>磋商响应文件</w:t>
      </w:r>
      <w:r>
        <w:rPr>
          <w:rFonts w:hint="eastAsia" w:hAnsi="宋体" w:eastAsia="宋体" w:cs="宋体"/>
          <w:b/>
          <w:color w:val="000000" w:themeColor="text1"/>
          <w:sz w:val="24"/>
          <w:szCs w:val="24"/>
          <w:highlight w:val="none"/>
          <w14:textFill>
            <w14:solidFill>
              <w14:schemeClr w14:val="tx1"/>
            </w14:solidFill>
          </w14:textFill>
        </w:rPr>
        <w:t>的格式</w:t>
      </w:r>
    </w:p>
    <w:p w14:paraId="66EE0229">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须编制由本须知第10条规定文件组成的</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四</w:t>
      </w:r>
      <w:r>
        <w:rPr>
          <w:rFonts w:hint="eastAsia" w:hAnsi="宋体" w:eastAsia="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14:paraId="5312ED40">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13.2</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应由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的法定代表人或授权代表签字并加盖公章，如由后者签字，应提供“单位授权委托书”。</w:t>
      </w:r>
    </w:p>
    <w:p w14:paraId="543072EF">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13.3除非另有规定或许可，磋商响应使用货币为人民币。</w:t>
      </w:r>
    </w:p>
    <w:p w14:paraId="29498F63">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13.4</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应提交证明</w:t>
      </w:r>
      <w:r>
        <w:rPr>
          <w:rFonts w:hint="eastAsia" w:hAnsi="宋体" w:cs="宋体"/>
          <w:color w:val="000000" w:themeColor="text1"/>
          <w:sz w:val="24"/>
          <w:szCs w:val="24"/>
          <w:highlight w:val="none"/>
          <w:lang w:eastAsia="zh-CN"/>
          <w14:textFill>
            <w14:solidFill>
              <w14:schemeClr w14:val="tx1"/>
            </w14:solidFill>
          </w14:textFill>
        </w:rPr>
        <w:t>其拟提供</w:t>
      </w:r>
      <w:r>
        <w:rPr>
          <w:rFonts w:hint="eastAsia" w:hAnsi="宋体" w:eastAsia="宋体" w:cs="宋体"/>
          <w:color w:val="000000" w:themeColor="text1"/>
          <w:sz w:val="24"/>
          <w:szCs w:val="24"/>
          <w:highlight w:val="none"/>
          <w14:textFill>
            <w14:solidFill>
              <w14:schemeClr w14:val="tx1"/>
            </w14:solidFill>
          </w14:textFill>
        </w:rPr>
        <w:t>货物、服务、工程符合采购文件要求的技术</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，该文件可以是文字资料、图纸和数据，并须提供货物、服务、工程主要技术性能的详细描述。</w:t>
      </w:r>
    </w:p>
    <w:p w14:paraId="162A6C62">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公章。</w:t>
      </w:r>
    </w:p>
    <w:p w14:paraId="160D8F6A">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13.6 全套</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应无涂改和行间插字，除非这些改动是根据采购代理机构的指示进行的，或者是为改正</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造成的必须修改的错误而进行的。有改动时，修改处应由法定代表人或授权代表签字证明或加盖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公章。</w:t>
      </w:r>
    </w:p>
    <w:p w14:paraId="4B4F94EF">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13.7未按本须知规定的格式填写</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字迹模糊不清的，其磋商响应将被拒绝。</w:t>
      </w:r>
    </w:p>
    <w:p w14:paraId="5FC95FC2">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13.8 所有资格证明文件复印件须加盖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公章。</w:t>
      </w:r>
    </w:p>
    <w:p w14:paraId="37FCCD6B">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13.9</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应将上述文件按顺序装订成册、打印页码，并编列</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目录、资料清单，由于装订不规范或编排顺序混乱而导致</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被误读或漏读，该磋商响应可能被视为无效响应或承担不利的评审结果。</w:t>
      </w:r>
    </w:p>
    <w:p w14:paraId="2B2CB65E">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7369CE6D">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1B918595">
      <w:pPr>
        <w:pStyle w:val="68"/>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四、</w:t>
      </w:r>
      <w:r>
        <w:rPr>
          <w:rFonts w:hint="default" w:hAnsi="宋体" w:cs="宋体"/>
          <w:b/>
          <w:color w:val="000000" w:themeColor="text1"/>
          <w:sz w:val="32"/>
          <w:szCs w:val="32"/>
          <w:highlight w:val="none"/>
          <w:lang w:val="en-US"/>
          <w14:textFill>
            <w14:solidFill>
              <w14:schemeClr w14:val="tx1"/>
            </w14:solidFill>
          </w14:textFill>
        </w:rPr>
        <w:t>磋商响应文件</w:t>
      </w:r>
      <w:r>
        <w:rPr>
          <w:rFonts w:hint="eastAsia" w:hAnsi="宋体" w:eastAsia="宋体" w:cs="宋体"/>
          <w:b/>
          <w:color w:val="000000" w:themeColor="text1"/>
          <w:sz w:val="32"/>
          <w:szCs w:val="32"/>
          <w:highlight w:val="none"/>
          <w14:textFill>
            <w14:solidFill>
              <w14:schemeClr w14:val="tx1"/>
            </w14:solidFill>
          </w14:textFill>
        </w:rPr>
        <w:t>的提交</w:t>
      </w:r>
    </w:p>
    <w:p w14:paraId="61797EA7">
      <w:pPr>
        <w:pStyle w:val="68"/>
        <w:spacing w:line="360" w:lineRule="auto"/>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14.</w:t>
      </w:r>
      <w:r>
        <w:rPr>
          <w:rFonts w:hint="default" w:hAnsi="宋体" w:cs="宋体"/>
          <w:b/>
          <w:color w:val="000000" w:themeColor="text1"/>
          <w:sz w:val="24"/>
          <w:szCs w:val="24"/>
          <w:highlight w:val="none"/>
          <w:lang w:val="en-US"/>
          <w14:textFill>
            <w14:solidFill>
              <w14:schemeClr w14:val="tx1"/>
            </w14:solidFill>
          </w14:textFill>
        </w:rPr>
        <w:t>磋商响应文件</w:t>
      </w:r>
      <w:r>
        <w:rPr>
          <w:rFonts w:hint="eastAsia" w:hAnsi="宋体" w:eastAsia="宋体" w:cs="宋体"/>
          <w:b/>
          <w:color w:val="000000" w:themeColor="text1"/>
          <w:sz w:val="24"/>
          <w:szCs w:val="24"/>
          <w:highlight w:val="none"/>
          <w14:textFill>
            <w14:solidFill>
              <w14:schemeClr w14:val="tx1"/>
            </w14:solidFill>
          </w14:textFill>
        </w:rPr>
        <w:t>的密封、标记和递交</w:t>
      </w:r>
    </w:p>
    <w:p w14:paraId="1A597DFE">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14.1 </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应将</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正本和副本分别用信封密封，并标明采购文件编号、</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名称、采购项目名称及“正本”或“副本”。</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未密封可导致其磋商被拒绝。</w:t>
      </w:r>
    </w:p>
    <w:p w14:paraId="7F2B2ACD">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之前（指磋商邀请中规定的磋商日期及时间）不准启封”的字样，并加盖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 xml:space="preserve">公章或由磋商代表签字。     </w:t>
      </w:r>
    </w:p>
    <w:p w14:paraId="22764D6F">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14.3 如</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由邮局或专人送交，</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应将</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按第14.1条至14.2条中的规定进行密封和标记后，按磋商邀请函注明的地址送至接收人。</w:t>
      </w:r>
    </w:p>
    <w:p w14:paraId="21FBB18F">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14.4 如果未按上述规定进行密封和标记，采购代理机构将不承担由此造成的对</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的误投或提前拆封的责任。</w:t>
      </w:r>
    </w:p>
    <w:p w14:paraId="164B0BEB">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14.5</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应在磋商邀请中规定的截止时间前送达，迟到的</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为无效</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，将被拒绝。</w:t>
      </w:r>
    </w:p>
    <w:p w14:paraId="6CB310A3">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14.6</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在磋商响应截止时间前，可以对所提交的采购文件进行修改或者撤回，并书面通知采购代理机构。修改的内容和撤回通知应当按本须知要求签署、盖章、密封，并作为</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的组成部分。</w:t>
      </w:r>
    </w:p>
    <w:p w14:paraId="2D9F604E">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14.7</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在磋商响应截止期后不得修改、撤回</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在报价截止期后修改</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的，其磋商响应将被拒绝。</w:t>
      </w:r>
    </w:p>
    <w:p w14:paraId="4B562822">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可以为2家。属于政府购买服务项目的，在采购过程中符合要求的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只有2家的，竞争性磋商采购活动可以继续进行，采购过程中符合要求的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只有1家的，应当终止采购活动，发布项目终止公告并说明原因，重新开展采购活动。</w:t>
      </w:r>
    </w:p>
    <w:p w14:paraId="7C55DFEF">
      <w:pPr>
        <w:pStyle w:val="68"/>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1928D652">
      <w:pPr>
        <w:pStyle w:val="68"/>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五、</w:t>
      </w:r>
      <w:r>
        <w:rPr>
          <w:rFonts w:hint="default" w:hAnsi="宋体" w:cs="宋体"/>
          <w:b/>
          <w:color w:val="000000" w:themeColor="text1"/>
          <w:sz w:val="32"/>
          <w:szCs w:val="32"/>
          <w:highlight w:val="none"/>
          <w:lang w:val="en-US"/>
          <w14:textFill>
            <w14:solidFill>
              <w14:schemeClr w14:val="tx1"/>
            </w14:solidFill>
          </w14:textFill>
        </w:rPr>
        <w:t>磋商响应文件</w:t>
      </w:r>
      <w:r>
        <w:rPr>
          <w:rFonts w:hint="eastAsia" w:hAnsi="宋体" w:eastAsia="宋体" w:cs="宋体"/>
          <w:b/>
          <w:color w:val="000000" w:themeColor="text1"/>
          <w:sz w:val="32"/>
          <w:szCs w:val="32"/>
          <w:highlight w:val="none"/>
          <w14:textFill>
            <w14:solidFill>
              <w14:schemeClr w14:val="tx1"/>
            </w14:solidFill>
          </w14:textFill>
        </w:rPr>
        <w:t>的评估和比较</w:t>
      </w:r>
    </w:p>
    <w:p w14:paraId="2662F402">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15.磋商时间</w:t>
      </w:r>
    </w:p>
    <w:p w14:paraId="3D52F0D5">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15.1在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须知前附表中所规定的时间、地点磋商（如有推迟情形，以推迟后的时间、地点为准）。</w:t>
      </w:r>
    </w:p>
    <w:p w14:paraId="417F8896">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15.2磋商由采购代理机构主持，邀请采购人、</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和有关方面代表参加。</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一般应派授权代表参加磋商，并办理签到手续。</w:t>
      </w:r>
    </w:p>
    <w:p w14:paraId="7403C1FC">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16.磋商小组</w:t>
      </w:r>
    </w:p>
    <w:p w14:paraId="6BC2211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进行审查、质疑、评估和比较，进行磋商并做出授予合同的建议。</w:t>
      </w:r>
    </w:p>
    <w:p w14:paraId="1F0BAE07">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17.</w:t>
      </w:r>
      <w:r>
        <w:rPr>
          <w:rFonts w:hint="default" w:hAnsi="宋体" w:cs="宋体"/>
          <w:b/>
          <w:color w:val="000000" w:themeColor="text1"/>
          <w:sz w:val="24"/>
          <w:szCs w:val="24"/>
          <w:highlight w:val="none"/>
          <w:lang w:val="en-US"/>
          <w14:textFill>
            <w14:solidFill>
              <w14:schemeClr w14:val="tx1"/>
            </w14:solidFill>
          </w14:textFill>
        </w:rPr>
        <w:t>磋商响应文件</w:t>
      </w:r>
      <w:r>
        <w:rPr>
          <w:rFonts w:hint="eastAsia" w:hAnsi="宋体" w:eastAsia="宋体" w:cs="宋体"/>
          <w:b/>
          <w:color w:val="000000" w:themeColor="text1"/>
          <w:sz w:val="24"/>
          <w:szCs w:val="24"/>
          <w:highlight w:val="none"/>
          <w14:textFill>
            <w14:solidFill>
              <w14:schemeClr w14:val="tx1"/>
            </w14:solidFill>
          </w14:textFill>
        </w:rPr>
        <w:t>的初审</w:t>
      </w:r>
    </w:p>
    <w:p w14:paraId="281C6E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的评估，都采用相同的程序和标准。评议过程将严格按照采购文件的要求和条件进行。</w:t>
      </w:r>
    </w:p>
    <w:p w14:paraId="2F5062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的审查、澄清、评估和比较以及推荐成交候选人的一切情况都不得透露给任一</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或与</w:t>
      </w:r>
      <w:r>
        <w:rPr>
          <w:rFonts w:hint="eastAsia" w:ascii="宋体" w:hAnsi="宋体" w:cs="宋体"/>
          <w:color w:val="000000" w:themeColor="text1"/>
          <w:sz w:val="24"/>
          <w:szCs w:val="24"/>
          <w:highlight w:val="none"/>
          <w:lang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磋商工作无关的人员。</w:t>
      </w:r>
    </w:p>
    <w:p w14:paraId="11718E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任何试图影响磋商小组对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的评审、比较或者推荐候选人的行为，都将导致其磋商响应被拒绝，并被没收磋商保证金。</w:t>
      </w:r>
    </w:p>
    <w:p w14:paraId="6F5B6B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17.1磋商小组将对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进行审查，以确定</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 xml:space="preserve">是否完整、有无计算上的错误、是否提交了磋商保证金、文件是否已正确签署。 </w:t>
      </w:r>
    </w:p>
    <w:p w14:paraId="41B868F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2B226B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中报价一览表内容与</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中明细表内容不一致的，以报价一览表为准。</w:t>
      </w:r>
    </w:p>
    <w:p w14:paraId="2E63B81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的大写金额和小写金额不一致的，以大写金额为准；总价金额与按单价汇总金额不一致的，以单价金额计算结果为准；单价金额小数点有明显错位的，应以总价为准，并修改单价；对不同文字文本</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的解释发生异议的，以中文文本为准。</w:t>
      </w:r>
    </w:p>
    <w:p w14:paraId="2A0819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不接受按上述方法对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中的算术错误进行更正，其响应将被拒绝并没收其磋商保证金。</w:t>
      </w:r>
    </w:p>
    <w:p w14:paraId="247F0F3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5EE145B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详细评估之前，磋商小组将依据</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须知前附表2所述的资格性要求对</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进行资格审查, 以确定其是否具备磋商资格。如果</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不具备磋商资格，不满足采购文件所规定的资格标准或提供资格证明文件不全的, 其磋商响应将被拒绝。</w:t>
      </w:r>
    </w:p>
    <w:p w14:paraId="74BAE5F9">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的竞争地位。对没有实质性响应的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将不进行评估，其响应将按照无效响应处理。凡有下列情况之一者，</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也将被视为未实质性响应采购文件要求：</w:t>
      </w:r>
    </w:p>
    <w:p w14:paraId="2F72DD7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的法定代表人或其授权代表签字；或未加盖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公章的；或签字人未提供单位有效授权委托书的；</w:t>
      </w:r>
    </w:p>
    <w:p w14:paraId="7675E02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14:paraId="0E5FB278">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14:paraId="2F46189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内容与采购文件内容及要求有重大偏离或保留的；</w:t>
      </w:r>
    </w:p>
    <w:p w14:paraId="1ACF1BE2">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提交的是可选择的报价；</w:t>
      </w:r>
    </w:p>
    <w:p w14:paraId="6041A1F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未按采购文件要求进行分项报价；</w:t>
      </w:r>
    </w:p>
    <w:p w14:paraId="67AA072E">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中提供虚假或失实资料的；</w:t>
      </w:r>
    </w:p>
    <w:p w14:paraId="26920B74">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(8)不符合采购文件中规定的其它实质性条款。</w:t>
      </w:r>
    </w:p>
    <w:p w14:paraId="4554E317">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本身的内容，而不寻求其他的外部证据。</w:t>
      </w:r>
    </w:p>
    <w:p w14:paraId="0863DDE0">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17.4</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提交的</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将给予保密，但不予退回。</w:t>
      </w:r>
    </w:p>
    <w:p w14:paraId="6DF10154">
      <w:pPr>
        <w:pStyle w:val="5"/>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资格和报价产品均必须满足中华人民共和国相关法律法规及行业的强制性要求，否则将作无效响应处理。</w:t>
      </w:r>
    </w:p>
    <w:p w14:paraId="24542D6C">
      <w:pPr>
        <w:pStyle w:val="5"/>
        <w:snapToGrid w:val="0"/>
        <w:spacing w:line="360" w:lineRule="auto"/>
        <w:ind w:firstLine="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b/>
          <w:color w:val="000000" w:themeColor="text1"/>
          <w:sz w:val="24"/>
          <w:szCs w:val="24"/>
          <w:highlight w:val="none"/>
          <w14:textFill>
            <w14:solidFill>
              <w14:schemeClr w14:val="tx1"/>
            </w14:solidFill>
          </w14:textFill>
        </w:rPr>
        <w:t>18.磋商相应文件的澄清</w:t>
      </w:r>
    </w:p>
    <w:p w14:paraId="6B103501">
      <w:pPr>
        <w:pStyle w:val="5"/>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作出必要的澄清、说明或者纠正。</w:t>
      </w:r>
      <w:r>
        <w:rPr>
          <w:rFonts w:hint="eastAsia" w:cs="宋体"/>
          <w:color w:val="000000" w:themeColor="text1"/>
          <w:sz w:val="24"/>
          <w:szCs w:val="24"/>
          <w:highlight w:val="none"/>
          <w:lang w:eastAsia="zh-CN"/>
          <w14:textFill>
            <w14:solidFill>
              <w14:schemeClr w14:val="tx1"/>
            </w14:solidFill>
          </w14:textFill>
        </w:rPr>
        <w:t>供应商</w:t>
      </w:r>
      <w:r>
        <w:rPr>
          <w:rFonts w:hint="eastAsia" w:eastAsia="宋体" w:cs="宋体"/>
          <w:color w:val="000000" w:themeColor="text1"/>
          <w:sz w:val="24"/>
          <w:szCs w:val="24"/>
          <w:highlight w:val="none"/>
          <w14:textFill>
            <w14:solidFill>
              <w14:schemeClr w14:val="tx1"/>
            </w14:solidFill>
          </w14:textFill>
        </w:rPr>
        <w:t>的澄清、说明或者补正应当在磋商小组规定的时间内以书面形式作出，由其法定代表人或者授权代表签字，并不得超出</w:t>
      </w:r>
      <w:r>
        <w:rPr>
          <w:rFonts w:hint="default" w:cs="宋体"/>
          <w:color w:val="000000" w:themeColor="text1"/>
          <w:sz w:val="24"/>
          <w:szCs w:val="24"/>
          <w:highlight w:val="none"/>
          <w:lang w:val="en-US"/>
          <w14:textFill>
            <w14:solidFill>
              <w14:schemeClr w14:val="tx1"/>
            </w14:solidFill>
          </w14:textFill>
        </w:rPr>
        <w:t>磋商响应文件</w:t>
      </w:r>
      <w:r>
        <w:rPr>
          <w:rFonts w:hint="eastAsia" w:eastAsia="宋体" w:cs="宋体"/>
          <w:color w:val="000000" w:themeColor="text1"/>
          <w:sz w:val="24"/>
          <w:szCs w:val="24"/>
          <w:highlight w:val="none"/>
          <w14:textFill>
            <w14:solidFill>
              <w14:schemeClr w14:val="tx1"/>
            </w14:solidFill>
          </w14:textFill>
        </w:rPr>
        <w:t>的范围或者改变</w:t>
      </w:r>
      <w:r>
        <w:rPr>
          <w:rFonts w:hint="default" w:cs="宋体"/>
          <w:color w:val="000000" w:themeColor="text1"/>
          <w:sz w:val="24"/>
          <w:szCs w:val="24"/>
          <w:highlight w:val="none"/>
          <w:lang w:val="en-US"/>
          <w14:textFill>
            <w14:solidFill>
              <w14:schemeClr w14:val="tx1"/>
            </w14:solidFill>
          </w14:textFill>
        </w:rPr>
        <w:t>磋商响应文件</w:t>
      </w:r>
      <w:r>
        <w:rPr>
          <w:rFonts w:hint="eastAsia" w:eastAsia="宋体" w:cs="宋体"/>
          <w:color w:val="000000" w:themeColor="text1"/>
          <w:sz w:val="24"/>
          <w:szCs w:val="24"/>
          <w:highlight w:val="none"/>
          <w14:textFill>
            <w14:solidFill>
              <w14:schemeClr w14:val="tx1"/>
            </w14:solidFill>
          </w14:textFill>
        </w:rPr>
        <w:t>的实质性内容。</w:t>
      </w:r>
    </w:p>
    <w:p w14:paraId="27F1A6E2">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19.比较与评价</w:t>
      </w:r>
    </w:p>
    <w:p w14:paraId="38FD0524">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19.1 磋商小组将按</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须知前附表3所述评审方法与标准，对资格性检查和符合性检查合格的采购文件进行商务和技术评估，综合比较与评价。</w:t>
      </w:r>
    </w:p>
    <w:p w14:paraId="10210C31">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该项最高报价加入漏（缺）报人的磋商响应报价进行评审。对多报及赠送项的价格评审时不予核减，全部进入评审价评议。</w:t>
      </w:r>
    </w:p>
    <w:p w14:paraId="43141785">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19.3若</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的报价明显低于其他报价，使得其报价可能低于其个别成本的，有可能影响商品质量或不能诚信履约的，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应按磋商小组要求作出书面说明并提供相关证明材料，不能合理说明或不能提供相关证明材料的，可作无效报价处理。</w:t>
      </w:r>
    </w:p>
    <w:p w14:paraId="53108EE6">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399D816A">
      <w:pPr>
        <w:pStyle w:val="68"/>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六、成交与签订合同</w:t>
      </w:r>
    </w:p>
    <w:p w14:paraId="7FF20B6E">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20.成交准则</w:t>
      </w:r>
    </w:p>
    <w:p w14:paraId="56374528">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20.1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的</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 xml:space="preserve">符合采购文件要求，按采购文件确定评审方法、标准，经磋商小组评审并推荐成交候选人。 </w:t>
      </w:r>
    </w:p>
    <w:p w14:paraId="19BCC027">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21.成交通知</w:t>
      </w:r>
    </w:p>
    <w:p w14:paraId="5CFAF2E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w:t>
      </w:r>
      <w:r>
        <w:rPr>
          <w:rFonts w:hint="eastAsia" w:ascii="宋体" w:hAnsi="宋体" w:cs="宋体"/>
          <w:color w:val="000000" w:themeColor="text1"/>
          <w:sz w:val="24"/>
          <w:szCs w:val="24"/>
          <w:highlight w:val="none"/>
          <w:lang w:eastAsia="zh-CN"/>
          <w14:textFill>
            <w14:solidFill>
              <w14:schemeClr w14:val="tx1"/>
            </w14:solidFill>
          </w14:textFill>
        </w:rPr>
        <w:t>厦门招投标网</w:t>
      </w:r>
      <w:r>
        <w:rPr>
          <w:rFonts w:hint="eastAsia" w:ascii="宋体" w:hAnsi="宋体" w:eastAsia="宋体" w:cs="宋体"/>
          <w:color w:val="000000" w:themeColor="text1"/>
          <w:sz w:val="24"/>
          <w:szCs w:val="24"/>
          <w:highlight w:val="none"/>
          <w14:textFill>
            <w14:solidFill>
              <w14:schemeClr w14:val="tx1"/>
            </w14:solidFill>
          </w14:textFill>
        </w:rPr>
        <w:t>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4C6309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07E2CD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14:paraId="117257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退还其磋商保证金（含保函）。在合同签订后5个工作日内，以原缴交方式退还成交供应商的磋商保证金。</w:t>
      </w:r>
    </w:p>
    <w:p w14:paraId="60E879BB">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22.签订合同</w:t>
      </w:r>
    </w:p>
    <w:p w14:paraId="26711B18">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22.1采购人、成交供应商在《成交通知书》发出之日起</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0日内，根据采购文件确定的事项和成交供应商</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，参照本采购文件第四章的《合同》文本签订合同。双方所签订的合同不得对采购文件和成交供应商</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279DC312">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22.2采购文件、采购文件的修改文件、成交供应商的</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、补充或修改的文件及澄清或承诺文件等，均为双方签订合同的组成部分，并与合同一并作为本采购文件所列采购项目的互补性法律文件，与合同具有同等法律效力。</w:t>
      </w:r>
    </w:p>
    <w:p w14:paraId="069FF467">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14:paraId="23357A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w:t>
      </w:r>
      <w:r>
        <w:rPr>
          <w:rFonts w:hint="eastAsia" w:ascii="宋体" w:hAnsi="宋体" w:cs="宋体"/>
          <w:color w:val="000000" w:themeColor="text1"/>
          <w:sz w:val="24"/>
          <w:szCs w:val="24"/>
          <w:highlight w:val="none"/>
          <w:lang w:eastAsia="zh-CN"/>
          <w14:textFill>
            <w14:solidFill>
              <w14:schemeClr w14:val="tx1"/>
            </w14:solidFill>
          </w14:textFill>
        </w:rPr>
        <w:t>成交候选供应商</w:t>
      </w:r>
      <w:r>
        <w:rPr>
          <w:rFonts w:hint="eastAsia" w:ascii="宋体" w:hAnsi="宋体" w:eastAsia="宋体" w:cs="宋体"/>
          <w:color w:val="000000" w:themeColor="text1"/>
          <w:sz w:val="24"/>
          <w:szCs w:val="24"/>
          <w:highlight w:val="none"/>
          <w14:textFill>
            <w14:solidFill>
              <w14:schemeClr w14:val="tx1"/>
            </w14:solidFill>
          </w14:textFill>
        </w:rPr>
        <w:t>签订政府采购合同，以此类推。且在此情况下，作为成交供应商之后第一位的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候选供应商应同意与采购人按不高于其最终报价签订采购合同。</w:t>
      </w:r>
    </w:p>
    <w:p w14:paraId="729EFC91">
      <w:pPr>
        <w:pStyle w:val="12"/>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23.</w:t>
      </w:r>
      <w:r>
        <w:rPr>
          <w:rFonts w:hint="eastAsia" w:hAnsi="宋体" w:eastAsia="宋体" w:cs="宋体"/>
          <w:b/>
          <w:color w:val="000000" w:themeColor="text1"/>
          <w:sz w:val="24"/>
          <w:szCs w:val="24"/>
          <w:highlight w:val="none"/>
          <w:lang w:eastAsia="zh-CN"/>
          <w14:textFill>
            <w14:solidFill>
              <w14:schemeClr w14:val="tx1"/>
            </w14:solidFill>
          </w14:textFill>
        </w:rPr>
        <w:t>代理服务费</w:t>
      </w:r>
    </w:p>
    <w:p w14:paraId="64F644A1">
      <w:pPr>
        <w:pStyle w:val="12"/>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成交供应商应按须知前附表一次性向采购代理机构交纳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701D064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E71131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1896B4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68952B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929A7B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BE85ED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CD9835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70698F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CC8A37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D71678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00ED55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DFDD2A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98A272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6358DA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26B5AA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50076C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磋商内容及要求</w:t>
      </w:r>
    </w:p>
    <w:p w14:paraId="7BC3AEC8">
      <w:pPr>
        <w:pStyle w:val="66"/>
        <w:spacing w:line="360" w:lineRule="auto"/>
        <w:rPr>
          <w:rFonts w:hint="eastAsia" w:hAnsi="宋体" w:eastAsia="宋体" w:cs="宋体"/>
          <w:color w:val="000000" w:themeColor="text1"/>
          <w:highlight w:val="none"/>
          <w14:textFill>
            <w14:solidFill>
              <w14:schemeClr w14:val="tx1"/>
            </w14:solidFill>
          </w14:textFill>
        </w:rPr>
      </w:pPr>
    </w:p>
    <w:p w14:paraId="4D4E9BE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项目概况</w:t>
      </w:r>
    </w:p>
    <w:p w14:paraId="02257C57">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厦门市湖里生态环境局将委托成交供应商于辖区开展运行管理及维护维修，服务期限为12个月，需包含安装调试并负责过程的全部费用。成交供应商需确保点位现场与运行规范符合国家与地市相关考核标准。</w:t>
      </w:r>
    </w:p>
    <w:p w14:paraId="7D698D13">
      <w:pPr>
        <w:pStyle w:val="3"/>
        <w:keepNext w:val="0"/>
        <w:keepLines w:val="0"/>
        <w:spacing w:before="0" w:after="0" w:line="360" w:lineRule="auto"/>
        <w:ind w:firstLine="0" w:firstLineChars="0"/>
        <w:rPr>
          <w:rFonts w:hint="default" w:ascii="宋体" w:hAnsi="宋体" w:eastAsia="宋体" w:cs="宋体"/>
          <w:b w:val="0"/>
          <w:bCs w:val="0"/>
          <w:color w:val="000000" w:themeColor="text1"/>
          <w:sz w:val="24"/>
          <w:szCs w:val="24"/>
          <w:highlight w:val="none"/>
          <w14:textFill>
            <w14:solidFill>
              <w14:schemeClr w14:val="tx1"/>
            </w14:solidFill>
          </w14:textFill>
        </w:rPr>
      </w:pPr>
      <w:bookmarkStart w:id="0" w:name="_Toc432356148"/>
    </w:p>
    <w:p w14:paraId="44E3A90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 总体要求</w:t>
      </w:r>
    </w:p>
    <w:p w14:paraId="56DB7D7B">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2.1 供应商需提供一套校准设备，包含以下：</w:t>
      </w:r>
    </w:p>
    <w:p w14:paraId="51AC714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2.1.1 多元动态校准仪；</w:t>
      </w:r>
    </w:p>
    <w:p w14:paraId="7347C45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2.1.2 臭氧校准仪，或多元动态校准仪包含了臭氧校准系统，使用的臭氧校准设备需在一级标准光度计进行传递后使用；</w:t>
      </w:r>
    </w:p>
    <w:p w14:paraId="2BD3FF2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2.1.3 流量计，带有效的计量部门证书；</w:t>
      </w:r>
    </w:p>
    <w:p w14:paraId="6C1EFB5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2.1.4 温度计，带有效的计量部门证书；</w:t>
      </w:r>
    </w:p>
    <w:p w14:paraId="617A955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2.1.5 大气压力计，带有效的计量部门证书；</w:t>
      </w:r>
    </w:p>
    <w:p w14:paraId="57BD85F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2.2 在委托运行管理及维修期间，成交供应商必须遵守国家的有关法律、法规、环保行业规定及站房所在单位的规章制度，本着为采购人负责的精神，依照规范，科学管理，使各空气站系统及仪表运行达到国家及行业颁布的技术标准和考核指标要求；既要及时维修空气站系统和仪表的故障，更要防范和减少故障，使各空气站真正发挥其效能和作用，确保监测数据及时、科学和准确。成交供应商更换仪器耗材、配件时应告知采购人，如有必要，需在采购人的监督下完成耗材、配件的更换。</w:t>
      </w:r>
    </w:p>
    <w:p w14:paraId="61A24EC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2.3 财产保护：委托运行管理及维修的全部资产（包括全部产权和建筑物、设备及配套设施）属采购人所有。未经采购人同意，成交供应商不得以任何方式对各类财产进行出售、抵押或转移；同时，在委托运行管理及维修期间，成交供应商有责任保证上述全部资产的完整、安全并处于良好状态。</w:t>
      </w:r>
    </w:p>
    <w:p w14:paraId="3266EF3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2.4 在委托运行管理期间，为确保仪器故障及时得到解决，保证监测数据的延续性，成交供应商应提供常规六项监测指标（即SO2、NO2、O3、CO、PM10、PM2.5）的监测仪器，所有设备应通过国家相关规范的性能验收后作为备机，确保所有点位所有数据正常上传。</w:t>
      </w:r>
    </w:p>
    <w:p w14:paraId="671CB4F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2.5 ★除不可抗力外，成交供应商如果不能达到上述2.1～2.4款的总体要求，采购人则有权单方面终止委托合同的履行，成交供应商应向采购人支付违约金，违约金的金额为终止前三个月的运行管理及维修费总额，供应商须对此进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作出书面承诺（格式自拟）并加盖单位公章</w:t>
      </w:r>
      <w:r>
        <w:rPr>
          <w:rFonts w:hint="default" w:ascii="宋体" w:hAnsi="宋体" w:eastAsia="宋体" w:cs="宋体"/>
          <w:b w:val="0"/>
          <w:bCs w:val="0"/>
          <w:color w:val="000000" w:themeColor="text1"/>
          <w:sz w:val="24"/>
          <w:szCs w:val="24"/>
          <w:highlight w:val="none"/>
          <w14:textFill>
            <w14:solidFill>
              <w14:schemeClr w14:val="tx1"/>
            </w14:solidFill>
          </w14:textFill>
        </w:rPr>
        <w:t>。</w:t>
      </w:r>
    </w:p>
    <w:p w14:paraId="512BF37E">
      <w:pPr>
        <w:pStyle w:val="3"/>
        <w:keepNext w:val="0"/>
        <w:keepLines w:val="0"/>
        <w:spacing w:before="0" w:after="0" w:line="360" w:lineRule="auto"/>
        <w:ind w:firstLine="472" w:firstLineChars="196"/>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3 运营维护服务内容</w:t>
      </w:r>
    </w:p>
    <w:p w14:paraId="78DCD60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厦门市湖里生态环境局委托成交供应商对禾山街道、殿前街道空气自动监测站点进行运行管理及维护维修。具体内容包括：</w:t>
      </w:r>
    </w:p>
    <w:p w14:paraId="65CFE58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3.1 对禾山街道、殿前街道空气自动监测站日常运行管理，成交供应商需对此次使用的环境空气质量监测设备进行调试，待仪器稳定运行后，正式开始计算运维期限，并及时反馈空气站运行情况；</w:t>
      </w:r>
    </w:p>
    <w:p w14:paraId="3426CD1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3.2 对空气自动监测站的采样系统、分析系统、控制系统、数据记录和传输系统（包括电脑、MODEN、UPS）、气象仪器、校准仪器等仪器仪表及其它辅助设备（空调、除湿机、稳压电源等）和联网软件系统进行日常运行、维护、维修、质量保证和校准等技术服务工作；</w:t>
      </w:r>
    </w:p>
    <w:p w14:paraId="2CFEAA8B">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3.3 对空气自动监测站的土建部分（包括站房、电、防雷设施等）进行日常运行管理和维修维保。</w:t>
      </w:r>
    </w:p>
    <w:p w14:paraId="49B6C9A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3.4 运维期结束后，成交供应商需提供空气质量自动监测站运维巡检记录。</w:t>
      </w:r>
    </w:p>
    <w:p w14:paraId="1CD79D2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 运行管理和维修考核指标</w:t>
      </w:r>
    </w:p>
    <w:p w14:paraId="32CE597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采购人考核周期为1个月一次，成交供应商需配合采购人相应条款开展考核，考核未通过扣除相应运维费用。</w:t>
      </w:r>
    </w:p>
    <w:p w14:paraId="50067C3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4.1 ▲有效数据捕集率：保证空气自动监测子站全年数据获取率＞90%（计算方法按行业标准执行）。空气自动站每天各监测项目有不少于20个有效小时平均值。每月每个污染物有不少于27个（2月份25个）有效日均值，每年有不少于12个有效月均值。</w:t>
      </w:r>
    </w:p>
    <w:p w14:paraId="08DD5DA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4.2 ▲开机率：避免为了降低监测费用，出现人为停机的现象，除外部停电或其他不可抗拒的原因外，每半年出现24小时以上的停机次数应少于6次，半年内超出6次的每站次扣1000元。若确实需要停机，需提前报告。</w:t>
      </w:r>
    </w:p>
    <w:p w14:paraId="758BF23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 ▲日常巡查和维护要求：成交供应商应每天检查空气质量自动监测子站数据，每周至少一次到现场巡检子站，对空气质量自动监测子站进行检查，对空气质量自动监测子站站房外部环境、内部环境、仪器设备系统、通讯系统、防雷系统、各气路系统、外部采样系统等的运行情况进行检查，检查各仪器单元的工作状态，必须关注的技术参数如：仪器的光强，仪器数据的有效性，空调的工作情况，稳压电源的工作情况，室内温度湿度，采样管，PM10、PM2.5加热温度，室内密封情况，室外采样头，避雷，接地等情况，数据采集器的数据是否与仪器一致，子站通讯是否正常，数据采集工控机及数据采集软件运行情况，易损耗件使用情况等。要按照行业标准要求及时更换易耗品及进行检查（见4.3.1），未完成的每站次每项扣100元。遇到可能影响空气站运行的特殊天气情况如台风、雷电、暴雨等时，成交供应商应及时到达现场，并对站房及所有仪器进行常规检查，确保正常运行，未完成的每站次扣100元。成交供应商应按要求做好相关的巡检记录，没有巡查记录或记录不完善的每站次扣100元。对于巡视中发现的问题，成交供应商应立即解决，并做好相应巡检和处理记录等；不能立即解决的问题，向采购人负责人汇报，并以书面形式说明故障原因及确定最佳的解决方案，未及时报告的每站次扣100元。</w:t>
      </w:r>
    </w:p>
    <w:p w14:paraId="181CDC3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4.3.1 常用的主要易耗品及更换频次（运维方在运维期间应包括但不限于以下耗品，如无长光程设备则不需要长光程相关配件）</w:t>
      </w:r>
    </w:p>
    <w:p w14:paraId="1896D1FB">
      <w:pPr>
        <w:pStyle w:val="80"/>
        <w:widowControl/>
        <w:shd w:val="clear" w:color="auto" w:fill="FFFFFF"/>
        <w:spacing w:before="270" w:after="270" w:line="360" w:lineRule="auto"/>
        <w:ind w:left="1620" w:right="1200" w:firstLine="425"/>
        <w:jc w:val="left"/>
        <w:rPr>
          <w:rFonts w:hint="eastAsia" w:ascii="宋体" w:hAnsi="宋体" w:eastAsia="宋体" w:cs="宋体"/>
          <w:color w:val="000000" w:themeColor="text1"/>
          <w:kern w:val="0"/>
          <w:sz w:val="24"/>
          <w:szCs w:val="24"/>
          <w:highlight w:val="none"/>
          <w14:textFill>
            <w14:solidFill>
              <w14:schemeClr w14:val="tx1"/>
            </w14:solidFill>
          </w14:textFill>
        </w:rPr>
      </w:pPr>
    </w:p>
    <w:tbl>
      <w:tblPr>
        <w:tblStyle w:val="81"/>
        <w:tblW w:w="871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33"/>
        <w:gridCol w:w="4663"/>
        <w:gridCol w:w="2623"/>
      </w:tblGrid>
      <w:tr w14:paraId="40B4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1" w:hRule="atLeast"/>
          <w:tblCellSpacing w:w="0" w:type="dxa"/>
          <w:jc w:val="center"/>
        </w:trPr>
        <w:tc>
          <w:tcPr>
            <w:tcW w:w="1539" w:type="dxa"/>
            <w:tcBorders>
              <w:top w:val="single" w:color="000000" w:sz="8" w:space="0"/>
              <w:left w:val="single" w:color="000000" w:sz="8" w:space="0"/>
              <w:bottom w:val="single" w:color="000000" w:sz="8" w:space="0"/>
              <w:right w:val="single" w:color="000000" w:sz="8" w:space="0"/>
            </w:tcBorders>
            <w:shd w:val="clear" w:color="auto" w:fill="FFFFFF"/>
            <w:tcMar>
              <w:top w:w="10" w:type="dxa"/>
              <w:left w:w="118" w:type="dxa"/>
              <w:bottom w:w="10" w:type="dxa"/>
              <w:right w:w="118" w:type="dxa"/>
            </w:tcMar>
            <w:vAlign w:val="top"/>
          </w:tcPr>
          <w:p w14:paraId="6235607E">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5033" w:type="dxa"/>
            <w:tcBorders>
              <w:top w:val="single" w:color="000000" w:sz="8" w:space="0"/>
              <w:bottom w:val="single" w:color="000000" w:sz="8" w:space="0"/>
              <w:right w:val="single" w:color="000000" w:sz="8" w:space="0"/>
            </w:tcBorders>
            <w:shd w:val="clear" w:color="auto" w:fill="FFFFFF"/>
            <w:tcMar>
              <w:top w:w="10" w:type="dxa"/>
              <w:left w:w="108" w:type="dxa"/>
              <w:bottom w:w="10" w:type="dxa"/>
              <w:right w:w="118" w:type="dxa"/>
            </w:tcMar>
            <w:vAlign w:val="top"/>
          </w:tcPr>
          <w:p w14:paraId="16FFFE34">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项目内容</w:t>
            </w:r>
          </w:p>
        </w:tc>
        <w:tc>
          <w:tcPr>
            <w:tcW w:w="2855" w:type="dxa"/>
            <w:tcBorders>
              <w:top w:val="single" w:color="000000" w:sz="8" w:space="0"/>
              <w:bottom w:val="single" w:color="000000" w:sz="8" w:space="0"/>
              <w:right w:val="single" w:color="000000" w:sz="8" w:space="0"/>
            </w:tcBorders>
            <w:shd w:val="clear" w:color="auto" w:fill="FFFFFF"/>
            <w:tcMar>
              <w:top w:w="10" w:type="dxa"/>
              <w:left w:w="108" w:type="dxa"/>
              <w:bottom w:w="10" w:type="dxa"/>
              <w:right w:w="118" w:type="dxa"/>
            </w:tcMar>
            <w:vAlign w:val="top"/>
          </w:tcPr>
          <w:p w14:paraId="486DD979">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更换频次</w:t>
            </w:r>
          </w:p>
        </w:tc>
      </w:tr>
      <w:tr w14:paraId="0553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764F0B2C">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29706E5D">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DOAS系统氙灯</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0229826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每六至九个月</w:t>
            </w:r>
          </w:p>
        </w:tc>
      </w:tr>
      <w:tr w14:paraId="055E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12AF3405">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46E096AB">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10</w:t>
            </w: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2.5</w:t>
            </w:r>
            <w:r>
              <w:rPr>
                <w:rStyle w:val="82"/>
                <w:rFonts w:hint="eastAsia" w:ascii="宋体" w:hAnsi="宋体" w:eastAsia="宋体" w:cs="宋体"/>
                <w:color w:val="000000" w:themeColor="text1"/>
                <w:kern w:val="0"/>
                <w:sz w:val="24"/>
                <w:szCs w:val="24"/>
                <w:highlight w:val="none"/>
                <w14:textFill>
                  <w14:solidFill>
                    <w14:schemeClr w14:val="tx1"/>
                  </w14:solidFill>
                </w14:textFill>
              </w:rPr>
              <w:t>滤膜（RP_1400)</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01609334">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负载达30%时更换</w:t>
            </w:r>
          </w:p>
        </w:tc>
      </w:tr>
      <w:tr w14:paraId="06A2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175AE3E6">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3</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42CAAF9C">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10</w:t>
            </w: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2.5</w:t>
            </w:r>
            <w:r>
              <w:rPr>
                <w:rStyle w:val="82"/>
                <w:rFonts w:hint="eastAsia" w:ascii="宋体" w:hAnsi="宋体" w:eastAsia="宋体" w:cs="宋体"/>
                <w:color w:val="000000" w:themeColor="text1"/>
                <w:kern w:val="0"/>
                <w:sz w:val="24"/>
                <w:szCs w:val="24"/>
                <w:highlight w:val="none"/>
                <w14:textFill>
                  <w14:solidFill>
                    <w14:schemeClr w14:val="tx1"/>
                  </w14:solidFill>
                </w14:textFill>
              </w:rPr>
              <w:t>主路和旁路过滤器</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151FD058">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每三个月</w:t>
            </w:r>
          </w:p>
        </w:tc>
      </w:tr>
      <w:tr w14:paraId="7FDB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4A40D6AA">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4</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67E8B649">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CO/SO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 NO/NO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3</w:t>
            </w:r>
            <w:r>
              <w:rPr>
                <w:rStyle w:val="82"/>
                <w:rFonts w:hint="eastAsia" w:ascii="宋体" w:hAnsi="宋体" w:eastAsia="宋体" w:cs="宋体"/>
                <w:color w:val="000000" w:themeColor="text1"/>
                <w:kern w:val="0"/>
                <w:sz w:val="24"/>
                <w:szCs w:val="24"/>
                <w:highlight w:val="none"/>
                <w14:textFill>
                  <w14:solidFill>
                    <w14:schemeClr w14:val="tx1"/>
                  </w14:solidFill>
                </w14:textFill>
              </w:rPr>
              <w:t>、苯系物钢瓶标准气体</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4D037095">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每年</w:t>
            </w:r>
          </w:p>
        </w:tc>
      </w:tr>
      <w:tr w14:paraId="0924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4A4943AF">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6F1BF31B">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1405DF滤膜及冷凝器滤膜</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1E7F6458">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每21天或负载达50%时</w:t>
            </w:r>
          </w:p>
        </w:tc>
      </w:tr>
      <w:tr w14:paraId="5328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151AF93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6</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54BF36FD">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1405DF干燥管再生</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18ADE176">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每3个月</w:t>
            </w:r>
          </w:p>
        </w:tc>
      </w:tr>
      <w:tr w14:paraId="5C76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tblCellSpacing w:w="0" w:type="dxa"/>
          <w:jc w:val="center"/>
        </w:trPr>
        <w:tc>
          <w:tcPr>
            <w:tcW w:w="1539"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top"/>
          </w:tcPr>
          <w:p w14:paraId="5B030F02">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7</w:t>
            </w:r>
          </w:p>
        </w:tc>
        <w:tc>
          <w:tcPr>
            <w:tcW w:w="5033"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5ED267B1">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点式仪器滤膜</w:t>
            </w:r>
          </w:p>
        </w:tc>
        <w:tc>
          <w:tcPr>
            <w:tcW w:w="2855" w:type="dxa"/>
            <w:tcBorders>
              <w:bottom w:val="single" w:color="000000" w:sz="8" w:space="0"/>
              <w:right w:val="single" w:color="000000" w:sz="8" w:space="0"/>
            </w:tcBorders>
            <w:shd w:val="clear" w:color="auto" w:fill="FFFFFF"/>
            <w:tcMar>
              <w:top w:w="0" w:type="dxa"/>
              <w:left w:w="108" w:type="dxa"/>
              <w:bottom w:w="10" w:type="dxa"/>
              <w:right w:w="118" w:type="dxa"/>
            </w:tcMar>
            <w:vAlign w:val="top"/>
          </w:tcPr>
          <w:p w14:paraId="51067D82">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每1个月</w:t>
            </w:r>
          </w:p>
        </w:tc>
      </w:tr>
    </w:tbl>
    <w:p w14:paraId="41AEAEF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p>
    <w:p w14:paraId="6D4B5BD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p>
    <w:p w14:paraId="729624B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以上耗品，除氙灯（由采购人提供）外，均由成交供应商提供,供应商需在供货范围清单中全部列出，一旦漏掉，视为全部满足耗品的需求。</w:t>
      </w:r>
    </w:p>
    <w:p w14:paraId="7C570B4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 检查项目内容及频次：空气质量自动监测子站巡检</w:t>
      </w:r>
    </w:p>
    <w:p w14:paraId="544AA5B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 空气质量自动监测子站现场巡检周期为正常情况下每周一次。</w:t>
      </w:r>
    </w:p>
    <w:p w14:paraId="7547427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4.3.2.2 空气质量自动监测子站巡检人员每次到子站应做好仪器运行状态记录，站房辅助设施运行记录。</w:t>
      </w:r>
    </w:p>
    <w:p w14:paraId="7A9783C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4.3.2.3 每天远程检查仪器差分光谱仪AR500各监测参数的光强及偏差情况，若发现异常立即查明原因并及时处理。确保差分光谱仪测量光强大于25%，光强低于25%的测量数据将视为无效数据。</w:t>
      </w:r>
    </w:p>
    <w:p w14:paraId="42574EC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4.3.2.4 每次巡检对仪器差分光谱仪AR500进行仪器的系统检查（P1～P5）,发现异常立即处理。</w:t>
      </w:r>
    </w:p>
    <w:p w14:paraId="6D093DD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4.3.2.5 每月对仪器差分光谱仪AR500进行仪器的背景校准。</w:t>
      </w:r>
    </w:p>
    <w:p w14:paraId="213F9C1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4.3.2.6 每3个月对仪器差分光谱仪AR500清洁一次发射及接收端的前窗玻璃，根据光强及光路的偏移情况，调整光路。确保差分光谱仪测量光强大于25%，光强低于25%的测量数据将视为无效数据。</w:t>
      </w:r>
    </w:p>
    <w:p w14:paraId="2D0F36E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4.3.2.7 对仪器差分光谱仪AR500根据光强情况，每6～9个月更换一次氙灯，每半年做一次仪器校准。</w:t>
      </w:r>
    </w:p>
    <w:p w14:paraId="730CA3B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4.3.2.8 每年做一次对仪器差分光谱仪AR500仪器的内部清洁工作，包括散热风扇及仪器主板。</w:t>
      </w:r>
    </w:p>
    <w:p w14:paraId="2495078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4.3.2.9 对仪器差分光谱仪AR500根据发射及接收端反射镜面的镀膜情况，根据采购人要求进行更换反射镜面（反射镜面配件由采购人提供）。</w:t>
      </w:r>
    </w:p>
    <w:p w14:paraId="606E41B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4.3.2.10 在运行维护合同履行过程中需要确保差分光谱仪AR500备机的完好，以备使用。</w:t>
      </w:r>
    </w:p>
    <w:p w14:paraId="17E7882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4.3.2.11 每周对点式仪器进行一次零点检查和仪器测量量程75%-90%范围取一跨度点的标点。如果零点误差小于0或大于+2%,标点误差大于正负5%,则先对仪器系统进行检修，必要时进行校准,并做好记录。</w:t>
      </w:r>
    </w:p>
    <w:p w14:paraId="1E7F24B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4.3.2.12 每次巡检对零气发生器和动态稀释仪进行检查是否正常、稳定,并做好记录。</w:t>
      </w:r>
    </w:p>
    <w:p w14:paraId="131F455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4.3.2.13 每次巡检对震荡天平法测尘仪进行各测试参数检查，若发现异常及时处理，同时做好相应维护记录。</w:t>
      </w:r>
    </w:p>
    <w:p w14:paraId="65A3E18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 每台TEOM仪器的测试参数主要为：</w:t>
      </w:r>
    </w:p>
    <w:p w14:paraId="37C9FBA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4.3.2.14.1 传感器温度</w:t>
      </w:r>
    </w:p>
    <w:p w14:paraId="677A7D5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4.3.2.14.2 样品气流温度</w:t>
      </w:r>
    </w:p>
    <w:p w14:paraId="75D802E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4.3.2.14.3 质量传感器上部温度</w:t>
      </w:r>
    </w:p>
    <w:p w14:paraId="6035A20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4.3.2.14.4 主流量</w:t>
      </w:r>
    </w:p>
    <w:p w14:paraId="71E2183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4.3.2.14.5 辅助流量</w:t>
      </w:r>
    </w:p>
    <w:p w14:paraId="003F719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4.3.2.14.6 噪声</w:t>
      </w:r>
    </w:p>
    <w:p w14:paraId="463C678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4.3.2.14.7 频率</w:t>
      </w:r>
    </w:p>
    <w:p w14:paraId="23C79D2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 进行下列日常巡检工作</w:t>
      </w:r>
    </w:p>
    <w:p w14:paraId="0ABA888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 每台TEOM仪器的巡检工作主要为：</w:t>
      </w:r>
    </w:p>
    <w:p w14:paraId="4488CC6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4.3.2.15.1.1 检查滤膜负载判断是否需要更换，如需及时处理，滤膜的调换应视季节不同及时更换</w:t>
      </w:r>
    </w:p>
    <w:p w14:paraId="2D02B16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4.3.2.15.1.2 检测过滤桶或过滤芯是否需要更换，如需及时处理，滤筒更换应视仪器流量显示值的变化及时更换</w:t>
      </w:r>
    </w:p>
    <w:p w14:paraId="3CB5D79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4.3.2.15.1.3 每次更换滤膜或滤筒时应将抽气泵关闭，更换后再开启抽气泵。并做好记录工作</w:t>
      </w:r>
    </w:p>
    <w:p w14:paraId="3835CEE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4.3.2.15.1.4 仪器防水查看，如遇异常问题（如发现水迹），及时处理如发现重大防水问题及时上报甲方，由甲方处理</w:t>
      </w:r>
    </w:p>
    <w:p w14:paraId="287EBFF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4.3.2.15.1.5 检查仪器是否出现冷凝水</w:t>
      </w:r>
    </w:p>
    <w:p w14:paraId="47C979D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4.3.2.15.1.6 日常巡检表格记录整理</w:t>
      </w:r>
    </w:p>
    <w:p w14:paraId="5C74236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备注：检查过滤膜,若有明显污染,及时予以更换；一般污染严重季节不超过2周,污染较轻季节不超过4周更换一次,每次调换应做好记录。</w:t>
      </w:r>
    </w:p>
    <w:p w14:paraId="6709B96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4.3.2.15.2 每月对震荡天平法测尘仪进行下列月度预防性检测和定期维护和保养</w:t>
      </w:r>
    </w:p>
    <w:p w14:paraId="4EEAF88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每台TEOM仪器月度预防性检测、定期维护和保养主要为：</w:t>
      </w:r>
    </w:p>
    <w:p w14:paraId="6E6D8E4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4.3.2.15.2.1 流量检查：利用Bios流量计对各工作点流行进行检查如发现异常，及时进行流量校正或故障维修</w:t>
      </w:r>
    </w:p>
    <w:p w14:paraId="21F4C2AB">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4.3.2.15.2.2 检查滤膜是否破损，如破损及时更换</w:t>
      </w:r>
    </w:p>
    <w:p w14:paraId="44F0270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4.3.2.15.2.3 对仪器进行采样气密性测试，如发现有漏气及时查明原因并处理</w:t>
      </w:r>
    </w:p>
    <w:p w14:paraId="6C94367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4.3.2.15.2.4 月度维护表格记录整理</w:t>
      </w:r>
    </w:p>
    <w:p w14:paraId="60FE194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 每季度对震荡天平法测尘仪进行下列季度预防性检测和定期维护和保养</w:t>
      </w:r>
    </w:p>
    <w:p w14:paraId="0391D92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每台TEOM仪器季度预防性检测、定期维护和保养主要为：</w:t>
      </w:r>
    </w:p>
    <w:p w14:paraId="327C712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4.3.2.15.3.1 切割头清洗（TE5030每月清洗一次）</w:t>
      </w:r>
    </w:p>
    <w:p w14:paraId="5B26FF7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4.3.2.15.3.2 主流量采样通道清洗</w:t>
      </w:r>
    </w:p>
    <w:p w14:paraId="3074BA5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4.3.2.15.3.3 辅助流量采样通道清洗</w:t>
      </w:r>
    </w:p>
    <w:p w14:paraId="3D85149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4.3.2.15.3.4 K0值检查</w:t>
      </w:r>
    </w:p>
    <w:p w14:paraId="5F59350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4.3.2.15.3.5 采样泵负压检查</w:t>
      </w:r>
    </w:p>
    <w:p w14:paraId="2AD1CA9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4.3.2.15.3.6 流量校准：利用Bios流量计对主流量、辅助流量进行校准</w:t>
      </w:r>
    </w:p>
    <w:p w14:paraId="10D069D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4.3.2.15.3.7 完整系统气密性测试检查</w:t>
      </w:r>
    </w:p>
    <w:p w14:paraId="6C5C30C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4.3.2.15.3.8 站房外采样部件的稳定性检查</w:t>
      </w:r>
    </w:p>
    <w:p w14:paraId="5CBF40F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4.3.2.15.3.9 季度维护表格记录整理</w:t>
      </w:r>
    </w:p>
    <w:p w14:paraId="3E668B9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 每年对测尘仪进行下列年度预防性检测、定期维护和保养</w:t>
      </w:r>
    </w:p>
    <w:p w14:paraId="0D1BA7A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每台仪器的年度预防性检测和定期维护和保养主要为：</w:t>
      </w:r>
    </w:p>
    <w:p w14:paraId="452317F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4.3.2.15.4.1 模拟量测试（温度，压力）        </w:t>
      </w:r>
    </w:p>
    <w:p w14:paraId="05FAC86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4.3.2.15.4.2 微量天平内部清洁</w:t>
      </w:r>
    </w:p>
    <w:p w14:paraId="66ABA71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4.3.2.15.4.3 微量天平稳定性测试</w:t>
      </w:r>
    </w:p>
    <w:p w14:paraId="618F9E0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4.3.2.15.4.4 流量计&amp;标准膜的标准传递</w:t>
      </w:r>
    </w:p>
    <w:p w14:paraId="090AE7D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4.3.2.15.4.5 整体采样系统清洗</w:t>
      </w:r>
    </w:p>
    <w:p w14:paraId="54D3DED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4.3.2.15.4.6 易损接头和部件的更换</w:t>
      </w:r>
    </w:p>
    <w:p w14:paraId="4BC6689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4.3.2.15.4.7 在运行维护合同履行过程中需要确保颗粒物监测仪备机的完好，以备使用。</w:t>
      </w:r>
    </w:p>
    <w:p w14:paraId="65EE347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4.3.2.15.4.8 一般情况下至少每半年对采样总管和采样支管进行一次清洁，检查采样气路是否有破裂，是否过于潮湿，并及时采取措施，检查采样总管是否有加热并确认加热是否正常。</w:t>
      </w:r>
    </w:p>
    <w:p w14:paraId="1FA08E0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4.3.2.15.4.9 每次巡检应检查钢瓶气压力，将读数记录在点检表内。与上次压力比较，看压力是否有异常变化。若有异常变化应检查是否漏气。</w:t>
      </w:r>
    </w:p>
    <w:p w14:paraId="12FF53A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4.3.2.15.4.10 巡检人员在每10天巡检过程中应检查各仪器示值与数据采集仪所显示的数值是否一致，若不一致应及时修正。</w:t>
      </w:r>
    </w:p>
    <w:p w14:paraId="1DDF59C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4.3.2.15.4.11 每季度进行空调的简单清洗和维护。</w:t>
      </w:r>
    </w:p>
    <w:p w14:paraId="1AEF5C9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4.3.2.15.4.12 检查子站内耗材存量是否足够二个月使用，如不够则做好记录并尽快补充，差分光谱仪耗材向采购人申领补充。</w:t>
      </w:r>
    </w:p>
    <w:p w14:paraId="2C514FF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5 空气自动监测子站数据采集器的检查</w:t>
      </w:r>
    </w:p>
    <w:p w14:paraId="6711029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5.1 中心计算机巡检周期为正常情况下每天一次。</w:t>
      </w:r>
    </w:p>
    <w:p w14:paraId="1047BCD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5.2 检查中心计算机与各空气自动监测子站的数据传输情况是否正常。</w:t>
      </w:r>
    </w:p>
    <w:p w14:paraId="59FAF97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5.3 对空气自动监测子站数据采集器的时钟和日历设置进行检查，若发现时钟和日历错误应及时调整。</w:t>
      </w:r>
    </w:p>
    <w:p w14:paraId="2051717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5.4 如系统具有远程诊断功能时，应远程检查各空气自动监测子站仪器的运行状况是否异常。</w:t>
      </w:r>
    </w:p>
    <w:p w14:paraId="5730547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 站房设施管理</w:t>
      </w:r>
    </w:p>
    <w:p w14:paraId="085DD2C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6.1 进一步完善各空气自动监测子站站房的管理制度。</w:t>
      </w:r>
    </w:p>
    <w:p w14:paraId="3D45174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6.2 空气自动监测子站自动监测系统维护管理工作流程规范明确，严格遵守站房管理制度和安全须知。</w:t>
      </w:r>
    </w:p>
    <w:p w14:paraId="406E076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6.3 站房内配备足够的照明设施。</w:t>
      </w:r>
    </w:p>
    <w:p w14:paraId="23824EE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6.4 巡检人员每周为站房打扫一次，保持站房内整洁,做到物品堆放有序,无明显积灰。</w:t>
      </w:r>
    </w:p>
    <w:p w14:paraId="2D29387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6.5 控制好室内温度，特别是夏季注意站房内外温差以防止冷凝水现象产生。</w:t>
      </w:r>
    </w:p>
    <w:p w14:paraId="39290C9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6.6 巡检时检查空调运行情况，若遇空调机坏，应及时修理，并启用备用空调。</w:t>
      </w:r>
    </w:p>
    <w:p w14:paraId="4D4FD91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6.7 每年5月之前做好避雷、接地检查，发现问题及时修理，并上报采购人。</w:t>
      </w:r>
    </w:p>
    <w:p w14:paraId="25BB3DE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6.8 成交供应商进入空气自动监测子站时应严格遵守站房所在单位的门禁及安全管理等规章制度，若采购人收到站房所在单位的投诉，每次扣3000元，超过3次即终止与成交供应商的服务合同。</w:t>
      </w:r>
    </w:p>
    <w:p w14:paraId="75B8AA2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 质量审核和保障工作</w:t>
      </w:r>
    </w:p>
    <w:p w14:paraId="00DABDB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7.1 质量审核支持性文件《环境空气质量自动监测技术规范》；</w:t>
      </w:r>
    </w:p>
    <w:p w14:paraId="5BD6FA1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 配合采购人做好质量审核工作,质量审核为每年2次；质量审核内容视采购人要求而定,在采购人无明确要求的情况下质量审核的内容有:</w:t>
      </w:r>
    </w:p>
    <w:p w14:paraId="3DB5509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7.2.1 对分析仪24小时零点和标点检查。</w:t>
      </w:r>
    </w:p>
    <w:p w14:paraId="65A42C5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7.2.2 对分析仪响应时间检查。</w:t>
      </w:r>
    </w:p>
    <w:p w14:paraId="3694A1E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7.2.3 对分析仪到指定值重复性检查。</w:t>
      </w:r>
    </w:p>
    <w:p w14:paraId="49DCE29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7.2.4 对分析仪进行多点线性检查。</w:t>
      </w:r>
    </w:p>
    <w:p w14:paraId="201404D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7.2.5 对分析仪进行模拟输出检查。</w:t>
      </w:r>
    </w:p>
    <w:p w14:paraId="4778498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7.2.6 对分析仪进行主要技术指标检查。</w:t>
      </w:r>
    </w:p>
    <w:p w14:paraId="5232A8B7">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7.2.7 对测尘仪进行主、辅流量、传感系数进行修正。</w:t>
      </w:r>
    </w:p>
    <w:p w14:paraId="2453BB3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7.2.8 对所做工作均有记录，仪器运行情况做到一机一卡,将记录汇总后形成报告形式交用户方。（注：对年中已进行大修的仪器，因检修结束均要做以上工作，所以在年终不再做以上工作。）</w:t>
      </w:r>
    </w:p>
    <w:p w14:paraId="10A8DA2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7.2.9 配合计量院做好强检工作。</w:t>
      </w:r>
    </w:p>
    <w:p w14:paraId="130CD6D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8 标准物质、器具的管理</w:t>
      </w:r>
    </w:p>
    <w:p w14:paraId="1A92EA0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8.1 采购人提供在有效期内的标准气体，由成交供应商负责更换，保证使用的标准气体是在有效期内，每次更换气体后将标准物质证书归档。</w:t>
      </w:r>
    </w:p>
    <w:p w14:paraId="3A83274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8.2 各流量测量装置应按规定进行量值传递并附记录。</w:t>
      </w:r>
    </w:p>
    <w:p w14:paraId="23DEF82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8.3 标准膜的校准采用百万分之一天平校准。</w:t>
      </w:r>
    </w:p>
    <w:p w14:paraId="04BCD3C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8.4 标准滤膜应存放在干燥缸内。</w:t>
      </w:r>
    </w:p>
    <w:p w14:paraId="370A84A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8.5 所有涉及运维中使用的耗材、配件的原件和使用件均需妥善保存，可查。</w:t>
      </w:r>
    </w:p>
    <w:p w14:paraId="1B2A258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9 数据质量要求</w:t>
      </w:r>
    </w:p>
    <w:p w14:paraId="2356819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9.1 ★采购人发现一次虚假监测数据，扣10000元；造假情况包括但不限于未经采购人书面许可修改设备运行过程参数或数采仪设置等，一旦发现立即终止与成交供应商的服务合同、依法追究相关责任，并永久列入本单位采购黑名单，由此给采购人带来的损失由成交供应商承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供应商须对此作出书面承诺（格式自拟）并加盖单位公章（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格式自拟</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并加盖单位公章</w:t>
      </w:r>
      <w:r>
        <w:rPr>
          <w:rFonts w:hint="default" w:ascii="宋体" w:hAnsi="宋体" w:eastAsia="宋体" w:cs="宋体"/>
          <w:b w:val="0"/>
          <w:bCs w:val="0"/>
          <w:color w:val="000000" w:themeColor="text1"/>
          <w:sz w:val="24"/>
          <w:szCs w:val="24"/>
          <w:highlight w:val="none"/>
          <w14:textFill>
            <w14:solidFill>
              <w14:schemeClr w14:val="tx1"/>
            </w14:solidFill>
          </w14:textFill>
        </w:rPr>
        <w:t>。</w:t>
      </w:r>
    </w:p>
    <w:p w14:paraId="63B3C10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9.2 成交供应商需按下表要求做好质控项目，未完成的每站次每项扣100元。</w:t>
      </w:r>
    </w:p>
    <w:p w14:paraId="4C4B0CBB">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9.3 分析仪性能质量控制目标：</w:t>
      </w:r>
    </w:p>
    <w:p w14:paraId="68F64A5F">
      <w:pPr>
        <w:pStyle w:val="80"/>
        <w:widowControl/>
        <w:shd w:val="clear" w:color="auto" w:fill="FFFFFF"/>
        <w:spacing w:before="270" w:after="270" w:line="360" w:lineRule="auto"/>
        <w:ind w:left="1620" w:right="1200" w:firstLine="425"/>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9.3.1 精度检查目标</w:t>
      </w:r>
    </w:p>
    <w:tbl>
      <w:tblPr>
        <w:tblStyle w:val="81"/>
        <w:tblW w:w="785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78"/>
        <w:gridCol w:w="2128"/>
        <w:gridCol w:w="3547"/>
      </w:tblGrid>
      <w:tr w14:paraId="6C8B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1" w:hRule="atLeast"/>
          <w:tblCellSpacing w:w="0" w:type="dxa"/>
          <w:jc w:val="center"/>
        </w:trPr>
        <w:tc>
          <w:tcPr>
            <w:tcW w:w="4434" w:type="dxa"/>
            <w:gridSpan w:val="2"/>
            <w:tcBorders>
              <w:top w:val="single" w:color="000000" w:sz="8" w:space="0"/>
              <w:left w:val="single" w:color="000000" w:sz="8" w:space="0"/>
              <w:bottom w:val="single" w:color="000000" w:sz="8" w:space="0"/>
              <w:right w:val="single" w:color="000000" w:sz="8" w:space="0"/>
            </w:tcBorders>
            <w:shd w:val="clear" w:color="auto" w:fill="FFFFFF"/>
            <w:tcMar>
              <w:top w:w="10" w:type="dxa"/>
              <w:left w:w="118" w:type="dxa"/>
              <w:bottom w:w="10" w:type="dxa"/>
              <w:right w:w="118" w:type="dxa"/>
            </w:tcMar>
            <w:vAlign w:val="center"/>
          </w:tcPr>
          <w:p w14:paraId="56E4BDB3">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参数</w:t>
            </w:r>
          </w:p>
        </w:tc>
        <w:tc>
          <w:tcPr>
            <w:tcW w:w="3901" w:type="dxa"/>
            <w:tcBorders>
              <w:top w:val="single" w:color="000000" w:sz="8" w:space="0"/>
              <w:bottom w:val="single" w:color="000000" w:sz="8" w:space="0"/>
              <w:right w:val="single" w:color="000000" w:sz="8" w:space="0"/>
            </w:tcBorders>
            <w:shd w:val="clear" w:color="auto" w:fill="FFFFFF"/>
            <w:tcMar>
              <w:top w:w="10" w:type="dxa"/>
              <w:left w:w="108" w:type="dxa"/>
              <w:bottom w:w="10" w:type="dxa"/>
              <w:right w:w="118" w:type="dxa"/>
            </w:tcMar>
            <w:vAlign w:val="center"/>
          </w:tcPr>
          <w:p w14:paraId="2158AE79">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控制极限</w:t>
            </w:r>
          </w:p>
        </w:tc>
      </w:tr>
      <w:tr w14:paraId="210F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4434" w:type="dxa"/>
            <w:gridSpan w:val="2"/>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center"/>
          </w:tcPr>
          <w:p w14:paraId="784F0846">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SO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，NO、NO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3</w:t>
            </w:r>
            <w:r>
              <w:rPr>
                <w:rStyle w:val="82"/>
                <w:rFonts w:hint="eastAsia" w:ascii="宋体" w:hAnsi="宋体" w:eastAsia="宋体" w:cs="宋体"/>
                <w:color w:val="000000" w:themeColor="text1"/>
                <w:kern w:val="0"/>
                <w:sz w:val="24"/>
                <w:szCs w:val="24"/>
                <w:highlight w:val="none"/>
                <w14:textFill>
                  <w14:solidFill>
                    <w14:schemeClr w14:val="tx1"/>
                  </w14:solidFill>
                </w14:textFill>
              </w:rPr>
              <w:t>、苯系物、CO</w:t>
            </w:r>
          </w:p>
        </w:tc>
        <w:tc>
          <w:tcPr>
            <w:tcW w:w="3901" w:type="dxa"/>
            <w:tcBorders>
              <w:bottom w:val="single" w:color="000000" w:sz="8" w:space="0"/>
              <w:right w:val="single" w:color="000000" w:sz="8" w:space="0"/>
            </w:tcBorders>
            <w:shd w:val="clear" w:color="auto" w:fill="FFFFFF"/>
            <w:tcMar>
              <w:top w:w="0" w:type="dxa"/>
              <w:left w:w="108" w:type="dxa"/>
              <w:bottom w:w="10" w:type="dxa"/>
              <w:right w:w="118" w:type="dxa"/>
            </w:tcMar>
            <w:vAlign w:val="center"/>
          </w:tcPr>
          <w:p w14:paraId="378ACE1B">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w:t>
            </w:r>
          </w:p>
        </w:tc>
      </w:tr>
      <w:tr w14:paraId="1FF8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335" w:type="dxa"/>
            <w:tcBorders>
              <w:left w:val="single" w:color="000000" w:sz="8" w:space="0"/>
              <w:bottom w:val="single" w:color="000000" w:sz="8" w:space="0"/>
              <w:right w:val="single" w:color="000000" w:sz="8" w:space="0"/>
            </w:tcBorders>
            <w:shd w:val="clear" w:color="auto" w:fill="FFFFFF"/>
            <w:tcMar>
              <w:top w:w="0" w:type="dxa"/>
              <w:left w:w="118" w:type="dxa"/>
              <w:bottom w:w="10" w:type="dxa"/>
              <w:right w:w="118" w:type="dxa"/>
            </w:tcMar>
            <w:vAlign w:val="center"/>
          </w:tcPr>
          <w:p w14:paraId="782F1337">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10</w:t>
            </w: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2.5</w:t>
            </w:r>
          </w:p>
        </w:tc>
        <w:tc>
          <w:tcPr>
            <w:tcW w:w="2325" w:type="dxa"/>
            <w:tcBorders>
              <w:bottom w:val="single" w:color="000000" w:sz="8" w:space="0"/>
              <w:right w:val="single" w:color="000000" w:sz="8" w:space="0"/>
            </w:tcBorders>
            <w:shd w:val="clear" w:color="auto" w:fill="FFFFFF"/>
            <w:tcMar>
              <w:top w:w="0" w:type="dxa"/>
              <w:left w:w="108" w:type="dxa"/>
              <w:bottom w:w="10" w:type="dxa"/>
              <w:right w:w="118" w:type="dxa"/>
            </w:tcMar>
            <w:vAlign w:val="center"/>
          </w:tcPr>
          <w:p w14:paraId="7090A7CB">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采样流量</w:t>
            </w:r>
          </w:p>
        </w:tc>
        <w:tc>
          <w:tcPr>
            <w:tcW w:w="3901" w:type="dxa"/>
            <w:tcBorders>
              <w:top w:val="single" w:color="000000" w:sz="8" w:space="0"/>
              <w:bottom w:val="single" w:color="000000" w:sz="8" w:space="0"/>
              <w:right w:val="single" w:color="000000" w:sz="8" w:space="0"/>
            </w:tcBorders>
            <w:shd w:val="clear" w:color="auto" w:fill="FFFFFF"/>
            <w:tcMar>
              <w:top w:w="10" w:type="dxa"/>
              <w:left w:w="108" w:type="dxa"/>
              <w:bottom w:w="10" w:type="dxa"/>
              <w:right w:w="118" w:type="dxa"/>
            </w:tcMar>
            <w:vAlign w:val="center"/>
          </w:tcPr>
          <w:p w14:paraId="6F07F2AC">
            <w:pPr>
              <w:pStyle w:val="80"/>
              <w:widowControl/>
              <w:spacing w:before="100" w:after="10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w:t>
            </w:r>
          </w:p>
        </w:tc>
      </w:tr>
    </w:tbl>
    <w:p w14:paraId="07B7ABC7">
      <w:pPr>
        <w:pStyle w:val="80"/>
        <w:widowControl/>
        <w:shd w:val="clear" w:color="auto" w:fill="FFFFFF"/>
        <w:spacing w:before="270" w:after="270" w:line="360" w:lineRule="auto"/>
        <w:ind w:left="1620" w:right="1200" w:firstLine="425"/>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9.3.2 跨度检查目标</w:t>
      </w:r>
    </w:p>
    <w:tbl>
      <w:tblPr>
        <w:tblStyle w:val="81"/>
        <w:tblW w:w="7837"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84"/>
        <w:gridCol w:w="1354"/>
        <w:gridCol w:w="1188"/>
        <w:gridCol w:w="1905"/>
        <w:gridCol w:w="1906"/>
      </w:tblGrid>
      <w:tr w14:paraId="6107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321" w:hRule="atLeast"/>
          <w:tblCellSpacing w:w="0" w:type="dxa"/>
          <w:jc w:val="center"/>
        </w:trPr>
        <w:tc>
          <w:tcPr>
            <w:tcW w:w="4344" w:type="dxa"/>
            <w:gridSpan w:val="3"/>
            <w:vMerge w:val="restart"/>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1A688D5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参数</w:t>
            </w:r>
          </w:p>
        </w:tc>
        <w:tc>
          <w:tcPr>
            <w:tcW w:w="3985" w:type="dxa"/>
            <w:gridSpan w:val="2"/>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1752848C">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运行评价指标</w:t>
            </w:r>
          </w:p>
        </w:tc>
      </w:tr>
      <w:tr w14:paraId="1A63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03" w:hRule="atLeast"/>
          <w:tblCellSpacing w:w="0" w:type="dxa"/>
          <w:jc w:val="center"/>
        </w:trPr>
        <w:tc>
          <w:tcPr>
            <w:gridSpan w:val="3"/>
            <w:vMerge w:val="continue"/>
            <w:tcBorders>
              <w:top w:val="inset" w:color="000000" w:sz="8" w:space="0"/>
              <w:left w:val="inset" w:color="000000" w:sz="8" w:space="0"/>
              <w:bottom w:val="inset" w:color="000000" w:sz="8" w:space="0"/>
              <w:right w:val="inset" w:color="000000" w:sz="8" w:space="0"/>
            </w:tcBorders>
            <w:shd w:val="clear" w:color="auto" w:fill="FFFFFF"/>
            <w:vAlign w:val="center"/>
          </w:tcPr>
          <w:p w14:paraId="7D40BFFA">
            <w:pPr>
              <w:rPr>
                <w:rStyle w:val="82"/>
                <w:rFonts w:hint="eastAsia" w:ascii="宋体" w:hAnsi="宋体" w:eastAsia="宋体" w:cs="宋体"/>
                <w:color w:val="000000" w:themeColor="text1"/>
                <w:kern w:val="0"/>
                <w:sz w:val="24"/>
                <w:szCs w:val="24"/>
                <w:highlight w:val="none"/>
                <w14:textFill>
                  <w14:solidFill>
                    <w14:schemeClr w14:val="tx1"/>
                  </w14:solidFill>
                </w14:textFill>
              </w:rPr>
            </w:pPr>
          </w:p>
        </w:tc>
        <w:tc>
          <w:tcPr>
            <w:tcW w:w="2110"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1F8A958C">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警告极限</w:t>
            </w:r>
          </w:p>
        </w:tc>
        <w:tc>
          <w:tcPr>
            <w:tcW w:w="2111"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6B29A54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控制极限</w:t>
            </w:r>
          </w:p>
        </w:tc>
      </w:tr>
      <w:tr w14:paraId="3BF8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0" w:type="dxa"/>
          <w:jc w:val="center"/>
        </w:trPr>
        <w:tc>
          <w:tcPr>
            <w:tcW w:w="1711"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1C1C0C08">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SO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3</w:t>
            </w:r>
            <w:r>
              <w:rPr>
                <w:rStyle w:val="82"/>
                <w:rFonts w:hint="eastAsia" w:ascii="宋体" w:hAnsi="宋体" w:eastAsia="宋体" w:cs="宋体"/>
                <w:color w:val="000000" w:themeColor="text1"/>
                <w:kern w:val="0"/>
                <w:sz w:val="24"/>
                <w:szCs w:val="24"/>
                <w:highlight w:val="none"/>
                <w14:textFill>
                  <w14:solidFill>
                    <w14:schemeClr w14:val="tx1"/>
                  </w14:solidFill>
                </w14:textFill>
              </w:rPr>
              <w:t>、NO、 NO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、苯系物、CO</w:t>
            </w:r>
          </w:p>
        </w:tc>
        <w:tc>
          <w:tcPr>
            <w:tcW w:w="2869" w:type="dxa"/>
            <w:gridSpan w:val="2"/>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2123A1B6">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所有级别跨度</w:t>
            </w:r>
          </w:p>
        </w:tc>
        <w:tc>
          <w:tcPr>
            <w:tcW w:w="2110"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354689C3">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±3％</w:t>
            </w:r>
          </w:p>
        </w:tc>
        <w:tc>
          <w:tcPr>
            <w:tcW w:w="2111"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5CDD18C4">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w:t>
            </w:r>
          </w:p>
        </w:tc>
      </w:tr>
      <w:tr w14:paraId="0E8E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77" w:hRule="atLeast"/>
          <w:tblCellSpacing w:w="0" w:type="dxa"/>
          <w:jc w:val="center"/>
        </w:trPr>
        <w:tc>
          <w:tcPr>
            <w:tcW w:w="1711" w:type="dxa"/>
            <w:vMerge w:val="restart"/>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22549240">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10</w:t>
            </w:r>
            <w:r>
              <w:rPr>
                <w:rStyle w:val="82"/>
                <w:rFonts w:hint="eastAsia" w:ascii="宋体" w:hAnsi="宋体" w:eastAsia="宋体" w:cs="宋体"/>
                <w:color w:val="000000" w:themeColor="text1"/>
                <w:kern w:val="0"/>
                <w:sz w:val="24"/>
                <w:szCs w:val="24"/>
                <w:highlight w:val="none"/>
                <w14:textFill>
                  <w14:solidFill>
                    <w14:schemeClr w14:val="tx1"/>
                  </w14:solidFill>
                </w14:textFill>
              </w:rPr>
              <w:t>、PM</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2.5</w:t>
            </w:r>
          </w:p>
        </w:tc>
        <w:tc>
          <w:tcPr>
            <w:tcW w:w="2869" w:type="dxa"/>
            <w:gridSpan w:val="2"/>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179E0CC6">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传感器校准常数</w:t>
            </w:r>
          </w:p>
        </w:tc>
        <w:tc>
          <w:tcPr>
            <w:tcW w:w="2110"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B84BE22">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±2.5％</w:t>
            </w:r>
          </w:p>
        </w:tc>
        <w:tc>
          <w:tcPr>
            <w:tcW w:w="2111"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66B65881">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w:t>
            </w:r>
          </w:p>
        </w:tc>
      </w:tr>
      <w:tr w14:paraId="027F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25" w:hRule="atLeast"/>
          <w:tblCellSpacing w:w="0" w:type="dxa"/>
          <w:jc w:val="center"/>
        </w:trPr>
        <w:tc>
          <w:tcPr>
            <w:vMerge w:val="continue"/>
            <w:tcBorders>
              <w:left w:val="inset" w:color="000000" w:sz="8" w:space="0"/>
              <w:bottom w:val="inset" w:color="000000" w:sz="8" w:space="0"/>
              <w:right w:val="inset" w:color="000000" w:sz="8" w:space="0"/>
            </w:tcBorders>
            <w:shd w:val="clear" w:color="auto" w:fill="FFFFFF"/>
            <w:vAlign w:val="center"/>
          </w:tcPr>
          <w:p w14:paraId="641FFB48">
            <w:pPr>
              <w:rPr>
                <w:rStyle w:val="82"/>
                <w:rFonts w:hint="eastAsia" w:ascii="宋体" w:hAnsi="宋体" w:eastAsia="宋体" w:cs="宋体"/>
                <w:color w:val="000000" w:themeColor="text1"/>
                <w:kern w:val="0"/>
                <w:sz w:val="24"/>
                <w:szCs w:val="24"/>
                <w:highlight w:val="none"/>
                <w14:textFill>
                  <w14:solidFill>
                    <w14:schemeClr w14:val="tx1"/>
                  </w14:solidFill>
                </w14:textFill>
              </w:rPr>
            </w:pPr>
          </w:p>
        </w:tc>
        <w:tc>
          <w:tcPr>
            <w:tcW w:w="1666"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351B4E6F">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泄漏流量</w:t>
            </w:r>
          </w:p>
        </w:tc>
        <w:tc>
          <w:tcPr>
            <w:tcW w:w="1439"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0BB94C29">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主要</w:t>
            </w:r>
          </w:p>
        </w:tc>
        <w:tc>
          <w:tcPr>
            <w:tcW w:w="2110"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041574E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≤0.05L/Min</w:t>
            </w:r>
          </w:p>
        </w:tc>
        <w:tc>
          <w:tcPr>
            <w:tcW w:w="2111"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3923D12F">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≤0.10L/Min</w:t>
            </w:r>
          </w:p>
        </w:tc>
      </w:tr>
      <w:tr w14:paraId="03BF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58" w:hRule="atLeast"/>
          <w:tblCellSpacing w:w="0" w:type="dxa"/>
          <w:jc w:val="center"/>
        </w:trPr>
        <w:tc>
          <w:tcPr>
            <w:vMerge w:val="continue"/>
            <w:tcBorders>
              <w:left w:val="inset" w:color="000000" w:sz="8" w:space="0"/>
              <w:bottom w:val="inset" w:color="000000" w:sz="8" w:space="0"/>
              <w:right w:val="inset" w:color="000000" w:sz="8" w:space="0"/>
            </w:tcBorders>
            <w:shd w:val="clear" w:color="auto" w:fill="FFFFFF"/>
            <w:vAlign w:val="center"/>
          </w:tcPr>
          <w:p w14:paraId="0FA6306B">
            <w:pPr>
              <w:rPr>
                <w:rStyle w:val="82"/>
                <w:rFonts w:hint="eastAsia" w:ascii="宋体" w:hAnsi="宋体" w:eastAsia="宋体" w:cs="宋体"/>
                <w:color w:val="000000" w:themeColor="text1"/>
                <w:kern w:val="0"/>
                <w:sz w:val="24"/>
                <w:szCs w:val="24"/>
                <w:highlight w:val="none"/>
                <w14:textFill>
                  <w14:solidFill>
                    <w14:schemeClr w14:val="tx1"/>
                  </w14:solidFill>
                </w14:textFill>
              </w:rPr>
            </w:pPr>
          </w:p>
        </w:tc>
        <w:tc>
          <w:tcPr>
            <w:tcW w:w="1666"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C2EB40D">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流量准确度</w:t>
            </w:r>
          </w:p>
        </w:tc>
        <w:tc>
          <w:tcPr>
            <w:tcW w:w="1439"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5042B323">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全部</w:t>
            </w:r>
          </w:p>
        </w:tc>
        <w:tc>
          <w:tcPr>
            <w:tcW w:w="2110"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541F0DAA">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±2.5%</w:t>
            </w:r>
          </w:p>
        </w:tc>
        <w:tc>
          <w:tcPr>
            <w:tcW w:w="2111"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1B5595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w:t>
            </w:r>
          </w:p>
        </w:tc>
      </w:tr>
    </w:tbl>
    <w:p w14:paraId="32EB8BC9">
      <w:pPr>
        <w:pStyle w:val="80"/>
        <w:widowControl/>
        <w:shd w:val="clear" w:color="auto" w:fill="FFFFFF"/>
        <w:spacing w:before="270" w:after="270" w:line="360" w:lineRule="auto"/>
        <w:ind w:left="1620" w:right="1200" w:firstLine="425"/>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9.3.3 气体分析仪质控项目及频率表</w:t>
      </w:r>
    </w:p>
    <w:tbl>
      <w:tblPr>
        <w:tblStyle w:val="81"/>
        <w:tblW w:w="790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87"/>
        <w:gridCol w:w="1933"/>
        <w:gridCol w:w="2728"/>
        <w:gridCol w:w="1754"/>
      </w:tblGrid>
      <w:tr w14:paraId="7161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1692"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792BD973">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项目</w:t>
            </w:r>
          </w:p>
        </w:tc>
        <w:tc>
          <w:tcPr>
            <w:tcW w:w="2118"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066C7731">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仪器名称</w:t>
            </w:r>
          </w:p>
        </w:tc>
        <w:tc>
          <w:tcPr>
            <w:tcW w:w="3093"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3E042CAB">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频率</w:t>
            </w:r>
          </w:p>
        </w:tc>
        <w:tc>
          <w:tcPr>
            <w:tcW w:w="1963"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070438B1">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方法与要求</w:t>
            </w:r>
          </w:p>
        </w:tc>
      </w:tr>
      <w:tr w14:paraId="2B12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08" w:hRule="atLeast"/>
          <w:tblCellSpacing w:w="0" w:type="dxa"/>
          <w:jc w:val="center"/>
        </w:trPr>
        <w:tc>
          <w:tcPr>
            <w:tcW w:w="1692"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59081F47">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零点检查</w:t>
            </w:r>
          </w:p>
        </w:tc>
        <w:tc>
          <w:tcPr>
            <w:tcW w:w="211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7B2AC850">
            <w:pPr>
              <w:pStyle w:val="80"/>
              <w:widowControl/>
              <w:spacing w:before="270" w:after="270" w:line="360" w:lineRule="auto"/>
              <w:ind w:left="120" w:hanging="12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（SO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、NO、NO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3</w:t>
            </w:r>
            <w:r>
              <w:rPr>
                <w:rStyle w:val="82"/>
                <w:rFonts w:hint="eastAsia" w:ascii="宋体" w:hAnsi="宋体" w:eastAsia="宋体" w:cs="宋体"/>
                <w:color w:val="000000" w:themeColor="text1"/>
                <w:kern w:val="0"/>
                <w:sz w:val="24"/>
                <w:szCs w:val="24"/>
                <w:highlight w:val="none"/>
                <w14:textFill>
                  <w14:solidFill>
                    <w14:schemeClr w14:val="tx1"/>
                  </w14:solidFill>
                </w14:textFill>
              </w:rPr>
              <w:t>、苯系物、CO）</w:t>
            </w:r>
          </w:p>
        </w:tc>
        <w:tc>
          <w:tcPr>
            <w:tcW w:w="309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3F45CF3F">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DOAS每3个月一次，点式每周一次。</w:t>
            </w:r>
          </w:p>
        </w:tc>
        <w:tc>
          <w:tcPr>
            <w:tcW w:w="196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69F34713">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手工</w:t>
            </w:r>
          </w:p>
        </w:tc>
      </w:tr>
      <w:tr w14:paraId="51C0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265" w:hRule="atLeast"/>
          <w:tblCellSpacing w:w="0" w:type="dxa"/>
          <w:jc w:val="center"/>
        </w:trPr>
        <w:tc>
          <w:tcPr>
            <w:tcW w:w="1692"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561658E">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多点校准</w:t>
            </w:r>
          </w:p>
        </w:tc>
        <w:tc>
          <w:tcPr>
            <w:tcW w:w="211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24D6CFC">
            <w:pPr>
              <w:pStyle w:val="80"/>
              <w:widowControl/>
              <w:spacing w:before="270" w:after="270" w:line="360" w:lineRule="auto"/>
              <w:ind w:left="120" w:hanging="12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SO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、NO、NO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3</w:t>
            </w:r>
            <w:r>
              <w:rPr>
                <w:rStyle w:val="82"/>
                <w:rFonts w:hint="eastAsia" w:ascii="宋体" w:hAnsi="宋体" w:eastAsia="宋体" w:cs="宋体"/>
                <w:color w:val="000000" w:themeColor="text1"/>
                <w:kern w:val="0"/>
                <w:sz w:val="24"/>
                <w:szCs w:val="24"/>
                <w:highlight w:val="none"/>
                <w14:textFill>
                  <w14:solidFill>
                    <w14:schemeClr w14:val="tx1"/>
                  </w14:solidFill>
                </w14:textFill>
              </w:rPr>
              <w:t>、苯系物、CO</w:t>
            </w:r>
          </w:p>
        </w:tc>
        <w:tc>
          <w:tcPr>
            <w:tcW w:w="309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024BCBEF">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1、每6个月1次；点式每周一次</w:t>
            </w:r>
          </w:p>
          <w:p w14:paraId="0672E8C6">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2、投入使用前；</w:t>
            </w:r>
          </w:p>
          <w:p w14:paraId="3F9136E4">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3、影响线性的大修后；</w:t>
            </w:r>
          </w:p>
          <w:p w14:paraId="0AE2B57B">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4、表现出严重的不准确（故障诊断）；</w:t>
            </w:r>
          </w:p>
          <w:p w14:paraId="761489F2">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5、更换氙灯及其它部件后。</w:t>
            </w:r>
          </w:p>
        </w:tc>
        <w:tc>
          <w:tcPr>
            <w:tcW w:w="196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11DD22E4">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1、手工；</w:t>
            </w:r>
          </w:p>
          <w:p w14:paraId="20E16231">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2、进行5点（包括零点）校准。</w:t>
            </w:r>
          </w:p>
        </w:tc>
      </w:tr>
      <w:tr w14:paraId="382C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2" w:hRule="atLeast"/>
          <w:tblCellSpacing w:w="0" w:type="dxa"/>
          <w:jc w:val="center"/>
        </w:trPr>
        <w:tc>
          <w:tcPr>
            <w:tcW w:w="1692"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7AF557DE">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精度检查</w:t>
            </w:r>
          </w:p>
        </w:tc>
        <w:tc>
          <w:tcPr>
            <w:tcW w:w="211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4CA3909">
            <w:pPr>
              <w:pStyle w:val="80"/>
              <w:widowControl/>
              <w:spacing w:before="270" w:after="270" w:line="360" w:lineRule="auto"/>
              <w:ind w:left="120" w:hanging="12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SO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、NO、NO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2</w:t>
            </w:r>
            <w:r>
              <w:rPr>
                <w:rStyle w:val="82"/>
                <w:rFonts w:hint="eastAsia" w:ascii="宋体" w:hAnsi="宋体" w:eastAsia="宋体" w:cs="宋体"/>
                <w:color w:val="000000" w:themeColor="text1"/>
                <w:kern w:val="0"/>
                <w:sz w:val="24"/>
                <w:szCs w:val="24"/>
                <w:highlight w:val="none"/>
                <w14:textFill>
                  <w14:solidFill>
                    <w14:schemeClr w14:val="tx1"/>
                  </w14:solidFill>
                </w14:textFill>
              </w:rPr>
              <w:t>、O</w:t>
            </w:r>
            <w:r>
              <w:rPr>
                <w:rStyle w:val="82"/>
                <w:rFonts w:hint="eastAsia" w:ascii="宋体" w:hAnsi="宋体" w:eastAsia="宋体" w:cs="宋体"/>
                <w:color w:val="000000" w:themeColor="text1"/>
                <w:kern w:val="0"/>
                <w:sz w:val="24"/>
                <w:szCs w:val="24"/>
                <w:highlight w:val="none"/>
                <w:vertAlign w:val="subscript"/>
                <w14:textFill>
                  <w14:solidFill>
                    <w14:schemeClr w14:val="tx1"/>
                  </w14:solidFill>
                </w14:textFill>
              </w:rPr>
              <w:t>3</w:t>
            </w:r>
            <w:r>
              <w:rPr>
                <w:rStyle w:val="82"/>
                <w:rFonts w:hint="eastAsia" w:ascii="宋体" w:hAnsi="宋体" w:eastAsia="宋体" w:cs="宋体"/>
                <w:color w:val="000000" w:themeColor="text1"/>
                <w:kern w:val="0"/>
                <w:sz w:val="24"/>
                <w:szCs w:val="24"/>
                <w:highlight w:val="none"/>
                <w14:textFill>
                  <w14:solidFill>
                    <w14:schemeClr w14:val="tx1"/>
                  </w14:solidFill>
                </w14:textFill>
              </w:rPr>
              <w:t>、苯系、CO</w:t>
            </w:r>
          </w:p>
        </w:tc>
        <w:tc>
          <w:tcPr>
            <w:tcW w:w="309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FD1FB87">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每季度1次</w:t>
            </w:r>
          </w:p>
        </w:tc>
        <w:tc>
          <w:tcPr>
            <w:tcW w:w="196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3C6BC63C">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手工</w:t>
            </w:r>
          </w:p>
        </w:tc>
      </w:tr>
    </w:tbl>
    <w:p w14:paraId="086A6498">
      <w:pPr>
        <w:pStyle w:val="80"/>
        <w:widowControl/>
        <w:shd w:val="clear" w:color="auto" w:fill="FFFFFF"/>
        <w:spacing w:before="270" w:after="270" w:line="360" w:lineRule="auto"/>
        <w:ind w:left="1620" w:right="1200" w:firstLine="425"/>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9.3.4 PM10、PM2.5质控内容及频率表</w:t>
      </w:r>
    </w:p>
    <w:tbl>
      <w:tblPr>
        <w:tblStyle w:val="81"/>
        <w:tblW w:w="792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43"/>
        <w:gridCol w:w="1517"/>
        <w:gridCol w:w="1666"/>
        <w:gridCol w:w="3003"/>
      </w:tblGrid>
      <w:tr w14:paraId="2522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blCellSpacing w:w="0" w:type="dxa"/>
          <w:jc w:val="center"/>
        </w:trPr>
        <w:tc>
          <w:tcPr>
            <w:tcW w:w="1978"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6F0D3E50">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项目</w:t>
            </w:r>
          </w:p>
        </w:tc>
        <w:tc>
          <w:tcPr>
            <w:tcW w:w="1663"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239EEFD4">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仪器名称</w:t>
            </w:r>
          </w:p>
        </w:tc>
        <w:tc>
          <w:tcPr>
            <w:tcW w:w="1887"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43CFA1BA">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频率</w:t>
            </w:r>
          </w:p>
        </w:tc>
        <w:tc>
          <w:tcPr>
            <w:tcW w:w="3365"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57ED1E2B">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方法与要求</w:t>
            </w:r>
          </w:p>
        </w:tc>
      </w:tr>
      <w:tr w14:paraId="2103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blCellSpacing w:w="0" w:type="dxa"/>
          <w:jc w:val="center"/>
        </w:trPr>
        <w:tc>
          <w:tcPr>
            <w:tcW w:w="197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6A64EB39">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流量校准</w:t>
            </w:r>
          </w:p>
        </w:tc>
        <w:tc>
          <w:tcPr>
            <w:tcW w:w="1663" w:type="dxa"/>
            <w:vMerge w:val="restart"/>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62E6CDB3">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TEOM监测仪、β射线监测仪</w:t>
            </w:r>
          </w:p>
        </w:tc>
        <w:tc>
          <w:tcPr>
            <w:tcW w:w="1887"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05279E85">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每6个月1次</w:t>
            </w:r>
          </w:p>
        </w:tc>
        <w:tc>
          <w:tcPr>
            <w:tcW w:w="3365"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23C84E2B">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1、使用可追溯的流量传递标准；</w:t>
            </w:r>
          </w:p>
          <w:p w14:paraId="07EBE7D2">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2、确保相对误差≤±5% 。</w:t>
            </w:r>
          </w:p>
        </w:tc>
      </w:tr>
      <w:tr w14:paraId="671B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blCellSpacing w:w="0" w:type="dxa"/>
          <w:jc w:val="center"/>
        </w:trPr>
        <w:tc>
          <w:tcPr>
            <w:tcW w:w="197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2A3AF7DC">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质量标准校准</w:t>
            </w:r>
          </w:p>
        </w:tc>
        <w:tc>
          <w:tcPr>
            <w:vMerge w:val="continue"/>
            <w:tcBorders>
              <w:left w:val="inset" w:color="000000" w:sz="8" w:space="0"/>
              <w:bottom w:val="inset" w:color="000000" w:sz="8" w:space="0"/>
              <w:right w:val="inset" w:color="000000" w:sz="8" w:space="0"/>
            </w:tcBorders>
            <w:shd w:val="clear" w:color="auto" w:fill="FFFFFF"/>
            <w:vAlign w:val="center"/>
          </w:tcPr>
          <w:p w14:paraId="19A588FD">
            <w:pPr>
              <w:rPr>
                <w:rStyle w:val="82"/>
                <w:rFonts w:hint="eastAsia" w:ascii="宋体" w:hAnsi="宋体" w:eastAsia="宋体" w:cs="宋体"/>
                <w:color w:val="000000" w:themeColor="text1"/>
                <w:kern w:val="0"/>
                <w:sz w:val="24"/>
                <w:szCs w:val="24"/>
                <w:highlight w:val="none"/>
                <w14:textFill>
                  <w14:solidFill>
                    <w14:schemeClr w14:val="tx1"/>
                  </w14:solidFill>
                </w14:textFill>
              </w:rPr>
            </w:pPr>
          </w:p>
        </w:tc>
        <w:tc>
          <w:tcPr>
            <w:tcW w:w="1887"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6274873F">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每年1次</w:t>
            </w:r>
          </w:p>
        </w:tc>
        <w:tc>
          <w:tcPr>
            <w:tcW w:w="3365"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A025A72">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1、使用可追溯的质量校准膜；</w:t>
            </w:r>
          </w:p>
          <w:p w14:paraId="5C4FDD69">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2、校准值应不超出标准值的±2%。</w:t>
            </w:r>
          </w:p>
        </w:tc>
      </w:tr>
    </w:tbl>
    <w:p w14:paraId="457E3F04">
      <w:pPr>
        <w:pStyle w:val="80"/>
        <w:widowControl/>
        <w:shd w:val="clear" w:color="auto" w:fill="FFFFFF"/>
        <w:spacing w:before="270" w:after="270" w:line="360" w:lineRule="auto"/>
        <w:ind w:left="1620" w:right="1200" w:firstLine="425"/>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9.3.5 气象参数仪质控项目及频率表</w:t>
      </w:r>
    </w:p>
    <w:tbl>
      <w:tblPr>
        <w:tblStyle w:val="81"/>
        <w:tblW w:w="795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65"/>
        <w:gridCol w:w="2828"/>
        <w:gridCol w:w="1816"/>
        <w:gridCol w:w="1749"/>
      </w:tblGrid>
      <w:tr w14:paraId="1800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jc w:val="center"/>
        </w:trPr>
        <w:tc>
          <w:tcPr>
            <w:tcW w:w="1748"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5229F3D3">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项目</w:t>
            </w:r>
          </w:p>
        </w:tc>
        <w:tc>
          <w:tcPr>
            <w:tcW w:w="3168"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79175C58">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仪器名称</w:t>
            </w:r>
          </w:p>
        </w:tc>
        <w:tc>
          <w:tcPr>
            <w:tcW w:w="2043"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72A4DDE8">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频率</w:t>
            </w:r>
          </w:p>
        </w:tc>
        <w:tc>
          <w:tcPr>
            <w:tcW w:w="1963" w:type="dxa"/>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top"/>
          </w:tcPr>
          <w:p w14:paraId="4DBB121A">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方法与要求</w:t>
            </w:r>
          </w:p>
        </w:tc>
      </w:tr>
      <w:tr w14:paraId="7993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2" w:hRule="atLeast"/>
          <w:tblCellSpacing w:w="0" w:type="dxa"/>
          <w:jc w:val="center"/>
        </w:trPr>
        <w:tc>
          <w:tcPr>
            <w:tcW w:w="174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160AD6FA">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精度检查</w:t>
            </w:r>
          </w:p>
        </w:tc>
        <w:tc>
          <w:tcPr>
            <w:tcW w:w="3168"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5D59E3EF">
            <w:pPr>
              <w:pStyle w:val="80"/>
              <w:widowControl/>
              <w:spacing w:before="270" w:after="270" w:line="360" w:lineRule="auto"/>
              <w:ind w:left="120" w:hanging="120"/>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气象五参数（温度、湿度、风向、风速、压力）</w:t>
            </w:r>
          </w:p>
        </w:tc>
        <w:tc>
          <w:tcPr>
            <w:tcW w:w="204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3FF2BB53">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每季度1次</w:t>
            </w:r>
          </w:p>
        </w:tc>
        <w:tc>
          <w:tcPr>
            <w:tcW w:w="1963" w:type="dxa"/>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D39ECD6">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手工</w:t>
            </w:r>
          </w:p>
        </w:tc>
      </w:tr>
    </w:tbl>
    <w:p w14:paraId="6ECEBF0E">
      <w:pPr>
        <w:rPr>
          <w:rFonts w:hint="default" w:ascii="宋体" w:hAnsi="宋体" w:eastAsia="宋体" w:cs="宋体"/>
          <w:b w:val="0"/>
          <w:bCs w:val="0"/>
          <w:color w:val="000000" w:themeColor="text1"/>
          <w:sz w:val="24"/>
          <w:szCs w:val="24"/>
          <w:highlight w:val="none"/>
          <w14:textFill>
            <w14:solidFill>
              <w14:schemeClr w14:val="tx1"/>
            </w14:solidFill>
          </w14:textFill>
        </w:rPr>
      </w:pPr>
    </w:p>
    <w:p w14:paraId="41C8ECE8">
      <w:pPr>
        <w:rPr>
          <w:rFonts w:hint="default" w:ascii="宋体" w:hAnsi="宋体" w:eastAsia="宋体" w:cs="宋体"/>
          <w:b w:val="0"/>
          <w:bCs w:val="0"/>
          <w:color w:val="000000" w:themeColor="text1"/>
          <w:sz w:val="24"/>
          <w:szCs w:val="24"/>
          <w:highlight w:val="none"/>
          <w14:textFill>
            <w14:solidFill>
              <w14:schemeClr w14:val="tx1"/>
            </w14:solidFill>
          </w14:textFill>
        </w:rPr>
      </w:pPr>
    </w:p>
    <w:p w14:paraId="78EA0EFF">
      <w:pPr>
        <w:rPr>
          <w:rFonts w:hint="default" w:ascii="宋体" w:hAnsi="宋体" w:cs="宋体"/>
          <w:color w:val="000000" w:themeColor="text1"/>
          <w:sz w:val="24"/>
          <w:szCs w:val="24"/>
          <w:highlight w:val="none"/>
          <w14:textFill>
            <w14:solidFill>
              <w14:schemeClr w14:val="tx1"/>
            </w14:solidFill>
          </w14:textFill>
        </w:rPr>
      </w:pPr>
    </w:p>
    <w:p w14:paraId="7A24481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ab/>
      </w:r>
      <w:r>
        <w:rPr>
          <w:rFonts w:hint="default" w:ascii="宋体" w:hAnsi="宋体" w:eastAsia="宋体" w:cs="宋体"/>
          <w:b w:val="0"/>
          <w:bCs w:val="0"/>
          <w:color w:val="000000" w:themeColor="text1"/>
          <w:sz w:val="24"/>
          <w:szCs w:val="24"/>
          <w:highlight w:val="none"/>
          <w14:textFill>
            <w14:solidFill>
              <w14:schemeClr w14:val="tx1"/>
            </w14:solidFill>
          </w14:textFill>
        </w:rPr>
        <w:t>9.4 量值溯源</w:t>
      </w:r>
    </w:p>
    <w:p w14:paraId="7C74A33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在溯源证书有效期内完成SO2、NO、NO2、O3、CO仪器的量值溯源。</w:t>
      </w:r>
    </w:p>
    <w:p w14:paraId="68E16F83">
      <w:pPr>
        <w:pStyle w:val="3"/>
        <w:keepNext w:val="0"/>
        <w:keepLines w:val="0"/>
        <w:spacing w:before="0" w:after="0" w:line="360" w:lineRule="auto"/>
        <w:ind w:firstLine="470" w:firstLineChars="196"/>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9.5 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w:t>
      </w:r>
      <w:r>
        <w:rPr>
          <w:rFonts w:hint="default" w:ascii="宋体" w:hAnsi="宋体" w:eastAsia="宋体" w:cs="宋体"/>
          <w:b w:val="0"/>
          <w:bCs w:val="0"/>
          <w:color w:val="000000" w:themeColor="text1"/>
          <w:sz w:val="24"/>
          <w:szCs w:val="24"/>
          <w:highlight w:val="none"/>
          <w14:textFill>
            <w14:solidFill>
              <w14:schemeClr w14:val="tx1"/>
            </w14:solidFill>
          </w14:textFill>
        </w:rPr>
        <w:t>每年对空气站进行仪器性能考核，发现不合格的，每站每参数扣除1000元，上级监测站对空气站进行仪器性能考核及数据比对工作发现不合格的，每站每参数扣除5000元。</w:t>
      </w:r>
    </w:p>
    <w:p w14:paraId="2F82E95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 空气自动站的维修考核指标</w:t>
      </w:r>
    </w:p>
    <w:p w14:paraId="0746252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10.1 ★空气自动监测子站中土建部分（包括站房、电、防雷设施等）的所有物品或部件和所有仪器设备（仪表、UPS、仪器防雷设施等）及数据传输软件升级维护皆为维修维保范围，所有物品、部件、仪器、设备、软件的故障、损坏皆由成交供应商负责维修或更换，耗品耗材和备品备件由成交供应商采购。由于保管不善和使用不当造成仪器损毁的，成交供应商负责购买零部件并维修好仪器，无法修复的应更换新机；对于负有责任的个人，应终止该人的运营资格退回公司；成交供应商除免费修复仪器外，每站次扣除2000元。因差分光谱仪器仪表老化造成仪器故障需更换零部件的，成交供应商需报采购人确认后购买并维修好仪器，成交供应商负责所有维修费用（包括厂家技术人员差旅费、服务费等），零部件费用经确认后由采购人支付，同时收回所更换的部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供应商须对此作出书面承诺（格式自拟）并加盖单位公章</w:t>
      </w:r>
      <w:r>
        <w:rPr>
          <w:rFonts w:hint="default" w:ascii="宋体" w:hAnsi="宋体" w:eastAsia="宋体" w:cs="宋体"/>
          <w:b w:val="0"/>
          <w:bCs w:val="0"/>
          <w:color w:val="000000" w:themeColor="text1"/>
          <w:sz w:val="24"/>
          <w:szCs w:val="24"/>
          <w:highlight w:val="none"/>
          <w14:textFill>
            <w14:solidFill>
              <w14:schemeClr w14:val="tx1"/>
            </w14:solidFill>
          </w14:textFill>
        </w:rPr>
        <w:t>。</w:t>
      </w:r>
    </w:p>
    <w:p w14:paraId="2DD56E3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10.2 土建部分（包括站房、电、防雷设施等）的所有物品或部件未及时更换或修复影响系统运行或造成不良影响，采购人可自行更换或修复，所发生的费用从运行管理及维修费中扣除。</w:t>
      </w:r>
    </w:p>
    <w:p w14:paraId="6166FE9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10.3 ★自动监测子站相关设备出现故障，电话响应时间为1小时；一般故障现场维修响应时间为2小时之内，要求及时调查并找出故障原因；48小时内修复或更换有故障的设备，恢复正常运行状态，能够连通并正常上传数据；通信中断，数据传不到环境自动监测的点位，要赴点位现场维护，并及时联系通信公司协助解决通信故障。采购人可委托其它单位或人员修理，所发生的费用从成交供应商维修费内扣除。</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供应商须对此作出书面承诺（格式自拟）并加盖单位公章</w:t>
      </w:r>
      <w:r>
        <w:rPr>
          <w:rFonts w:hint="default" w:ascii="宋体" w:hAnsi="宋体" w:eastAsia="宋体" w:cs="宋体"/>
          <w:b w:val="0"/>
          <w:bCs w:val="0"/>
          <w:color w:val="000000" w:themeColor="text1"/>
          <w:sz w:val="24"/>
          <w:szCs w:val="24"/>
          <w:highlight w:val="none"/>
          <w14:textFill>
            <w14:solidFill>
              <w14:schemeClr w14:val="tx1"/>
            </w14:solidFill>
          </w14:textFill>
        </w:rPr>
        <w:t>。</w:t>
      </w:r>
    </w:p>
    <w:p w14:paraId="2B33FE2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10.4 ▲故障期间，成交供应商必须以自备备机进行监测或人工采样分析以满足“运行管理和维修考核指标”要求。成交供应商提供的备机型号、技术参数，需与业主提供的仪器设备一致或在性能方面保持一致。</w:t>
      </w:r>
    </w:p>
    <w:p w14:paraId="3E51216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10.5 成交供应商连续3次未能履行维修责任，采购人可单方面中止协议，扣除全部维修费用；成交供应商应赔偿由此给采购人造成的损失。</w:t>
      </w:r>
    </w:p>
    <w:p w14:paraId="153B97F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10.6 ★在运维服务期内，成交供应商应委派至少1个全职人员和1台车辆用于开展现场工作。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供应商须对此作出书面承诺（格式自拟）并加盖单位公章</w:t>
      </w:r>
      <w:r>
        <w:rPr>
          <w:rFonts w:hint="default" w:ascii="宋体" w:hAnsi="宋体" w:eastAsia="宋体" w:cs="宋体"/>
          <w:b w:val="0"/>
          <w:bCs w:val="0"/>
          <w:color w:val="000000" w:themeColor="text1"/>
          <w:sz w:val="24"/>
          <w:szCs w:val="24"/>
          <w:highlight w:val="none"/>
          <w14:textFill>
            <w14:solidFill>
              <w14:schemeClr w14:val="tx1"/>
            </w14:solidFill>
          </w14:textFill>
        </w:rPr>
        <w:t>。</w:t>
      </w:r>
    </w:p>
    <w:p w14:paraId="3319ED0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11 运营服务成果要求</w:t>
      </w:r>
    </w:p>
    <w:p w14:paraId="56DE293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11.1 ▲成交供应商需依“数据质量要求”的表格内容定期向采购人提交禾山街道、殿前街道空气自动监测站的运营报告。</w:t>
      </w:r>
    </w:p>
    <w:p w14:paraId="10A4B22B">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11.2 半年维护结束后15日内提交半年维护报告。</w:t>
      </w:r>
    </w:p>
    <w:p w14:paraId="37017C7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11.3 一年维护结束后15日内提交年度维护报告（具体时间按合同执行）。</w:t>
      </w:r>
    </w:p>
    <w:p w14:paraId="714B36E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11.4 运营服务结束要求</w:t>
      </w:r>
    </w:p>
    <w:p w14:paraId="5AD95BE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合同结束前20日内，成交供应商须提交禾山街道、殿前街道空气自动监测站点运营状况总结报告，并经采购人确认后结案。</w:t>
      </w:r>
    </w:p>
    <w:p w14:paraId="4A333DE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 管理要求</w:t>
      </w:r>
    </w:p>
    <w:p w14:paraId="0E2A5F4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12.1 在委托管理期间，成交供应商拥有管理自主权，但没有对外经营权，也不得委托给第三方运营管理。未经采购人同意，成交供应商不得利用本项目的所有资料对外开展技术交流、业务联系、数据交换等，一经发现终止合同。</w:t>
      </w:r>
    </w:p>
    <w:p w14:paraId="203D965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 xml:space="preserve">12.2 在委托管理期间，成交供应商应严格按照采购人制订的操作规范和和规章制度，对所管理的系统及仪器设备进行规范操作和精心维护及必要维修，保证系统及仪器设备的正常运行，达到成交供应商提出的运行管理和维修考核指标要求。成交供应商必须接受采购人代表提出的各项指令，接受采购人代表的检查和考核。 </w:t>
      </w:r>
    </w:p>
    <w:p w14:paraId="2C6906D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12.3 在委托管理期间，成交供应商应承担仪器设备的保管责任。成交供应商必须遵守安全保卫制度，配备专职看守人员，配齐专用安全、消防等器材，保证仪器设备的安全。因为公司的保管责任导致仪器设备的丢失，公司应按照设备原价值赔偿或恢复原状。</w:t>
      </w:r>
    </w:p>
    <w:p w14:paraId="0DBA598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12.4 在委托管理期间，成交供应商应承担安全、消防等所有生产责任（不可抗力因素除外）。成交供应商应按安全生产有关规定，建立安全生产制度，切实消除安全隐患。</w:t>
      </w:r>
    </w:p>
    <w:p w14:paraId="0B52D95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12.5 不论何时，成交供应商都应承担监测数据的保密责任，不得向外界传递任何监测数据。</w:t>
      </w:r>
    </w:p>
    <w:p w14:paraId="6205C2D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12.6 人事管理</w:t>
      </w:r>
    </w:p>
    <w:p w14:paraId="219AAA8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12.6.1 本项目所需管理、技术人员及其他员工均由成交供应商负责派出。其中，项目经理和技术负责人及主要技术人员应符合其响应时拟派人员要求。</w:t>
      </w:r>
    </w:p>
    <w:p w14:paraId="31DF4BB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12.6.2 在委托管理期间，成交供应商拥有用人自主权，有权在计划数内招聘、辞退和奖罚员工。</w:t>
      </w:r>
    </w:p>
    <w:p w14:paraId="554578E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12.6.3 在委托管理期间，成交供应商应按照国家有关用人用工制度和劳动管理等法律法规进行人事管理；采购人对成交供应商员工人身安全、劳资纠纷概不负责。</w:t>
      </w:r>
    </w:p>
    <w:p w14:paraId="6057BCD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12.7 财务管理</w:t>
      </w:r>
    </w:p>
    <w:p w14:paraId="75A8567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12.7.1 成交供应商的财务管理范围是对本项目委托管理过程所发生的管理费用的财务管理。</w:t>
      </w:r>
    </w:p>
    <w:p w14:paraId="7BDE19D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12.7.2 在委托管理期间，成交供应商应遵守国家有关财务会计法规对本项目财务管理进行单独列账核算，采购人有权对成交供应商本项目财务管理进行监督。</w:t>
      </w:r>
    </w:p>
    <w:p w14:paraId="0BC795B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12.8 本项目委托管理过程中需经采购人审核同意事项：</w:t>
      </w:r>
    </w:p>
    <w:p w14:paraId="25447A2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12.8.1 派出的项目经理和技术负责人需中途更换；</w:t>
      </w:r>
    </w:p>
    <w:p w14:paraId="102DD5B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12.8.2 项目运行管理操作规范和规章制度；</w:t>
      </w:r>
    </w:p>
    <w:p w14:paraId="3B4FB56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12.8.3 固定资产的增添、外购及维修费用支出等；</w:t>
      </w:r>
    </w:p>
    <w:p w14:paraId="3C0B907C">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12.8.4 项目人员数量的增减；</w:t>
      </w:r>
    </w:p>
    <w:p w14:paraId="4C1B7E1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12.8.5 监测参数的增减和监测分析方法的变更。</w:t>
      </w:r>
    </w:p>
    <w:p w14:paraId="62FC219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12.9 遇到台风、暴雨等自然灾害，成交供应商应提前派人巡查做好防范工作，降低自然灾害对空气自动站的影响。</w:t>
      </w:r>
    </w:p>
    <w:p w14:paraId="5A1CBBB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12.10 上级领导来空气自动站参观视察的，成交供应商要做好场地卫生，配合采购人做好接待工作。在上级部门（监测站以上）对子站的检查、考核、参观等活动中，如果上级部门对子站提出意见，对业主的形象造成负面影响的，每次扣款1000元。</w:t>
      </w:r>
    </w:p>
    <w:p w14:paraId="47D61B1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12.11 运营管理期间，如果采购人要改造或升级监测子站的，成交供应商有义务配合工作。</w:t>
      </w:r>
    </w:p>
    <w:p w14:paraId="5B17F16F">
      <w:pPr>
        <w:pStyle w:val="3"/>
        <w:keepNext w:val="0"/>
        <w:keepLines w:val="0"/>
        <w:spacing w:before="0" w:after="0" w:line="360" w:lineRule="auto"/>
        <w:ind w:firstLine="472" w:firstLineChars="196"/>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13 商务条件要求</w:t>
      </w:r>
    </w:p>
    <w:p w14:paraId="0BEF9D7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13.1 服务地点：厦门市行政区域内采购人指定地点。</w:t>
      </w:r>
    </w:p>
    <w:p w14:paraId="76059DD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13.2 服务时间：项目服务时间为12个月，签</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订</w:t>
      </w:r>
      <w:r>
        <w:rPr>
          <w:rFonts w:hint="default" w:ascii="宋体" w:hAnsi="宋体" w:eastAsia="宋体" w:cs="宋体"/>
          <w:b w:val="0"/>
          <w:bCs w:val="0"/>
          <w:color w:val="000000" w:themeColor="text1"/>
          <w:sz w:val="24"/>
          <w:szCs w:val="24"/>
          <w:highlight w:val="none"/>
          <w14:textFill>
            <w14:solidFill>
              <w14:schemeClr w14:val="tx1"/>
            </w14:solidFill>
          </w14:textFill>
        </w:rPr>
        <w:t>合同后成交供应商必须在一星期内完成项目交接手续。</w:t>
      </w:r>
    </w:p>
    <w:p w14:paraId="683D740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13.3 是否收取履约保证金：否。</w:t>
      </w:r>
    </w:p>
    <w:p w14:paraId="55FB0BB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13.4 验收方式</w:t>
      </w:r>
    </w:p>
    <w:tbl>
      <w:tblPr>
        <w:tblStyle w:val="81"/>
        <w:tblW w:w="5412" w:type="pct"/>
        <w:tblCellSpacing w:w="0" w:type="dxa"/>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19"/>
        <w:gridCol w:w="7477"/>
      </w:tblGrid>
      <w:tr w14:paraId="57E7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978" w:type="pct"/>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51546CAD">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4021" w:type="pct"/>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590CC3BF">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验收说明</w:t>
            </w:r>
          </w:p>
        </w:tc>
      </w:tr>
      <w:tr w14:paraId="0BD2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978" w:type="pct"/>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06319269">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w:t>
            </w:r>
          </w:p>
        </w:tc>
        <w:tc>
          <w:tcPr>
            <w:tcW w:w="4021" w:type="pct"/>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764E483C">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按季度进行考核，根据考核情况进行验收。在委托管理期间采取管理费与考核相挂钩的办法，采购人将按磋商文件和委托合同的运行管理和维修考核指标规定对成交供应商进行考核，成交供应商的运行管理和维修考核指标未达到采购人规定的要求时要相应扣除其费用。考核指标和费用扣除方式及标准见第</w:t>
            </w:r>
            <w:r>
              <w:rPr>
                <w:rStyle w:val="82"/>
                <w:rFonts w:hint="eastAsia" w:ascii="宋体" w:hAnsi="宋体" w:cs="宋体"/>
                <w:color w:val="000000" w:themeColor="text1"/>
                <w:kern w:val="0"/>
                <w:sz w:val="24"/>
                <w:szCs w:val="24"/>
                <w:highlight w:val="none"/>
                <w:lang w:val="en-US" w:eastAsia="zh-CN"/>
                <w14:textFill>
                  <w14:solidFill>
                    <w14:schemeClr w14:val="tx1"/>
                  </w14:solidFill>
                </w14:textFill>
              </w:rPr>
              <w:t>三</w:t>
            </w:r>
            <w:r>
              <w:rPr>
                <w:rStyle w:val="82"/>
                <w:rFonts w:hint="eastAsia" w:ascii="宋体" w:hAnsi="宋体" w:eastAsia="宋体" w:cs="宋体"/>
                <w:color w:val="000000" w:themeColor="text1"/>
                <w:kern w:val="0"/>
                <w:sz w:val="24"/>
                <w:szCs w:val="24"/>
                <w:highlight w:val="none"/>
                <w14:textFill>
                  <w14:solidFill>
                    <w14:schemeClr w14:val="tx1"/>
                  </w14:solidFill>
                </w14:textFill>
              </w:rPr>
              <w:t>章“运行管理和维修考核指标”、“运营服务成果要求”、“管理要求”条款规定。</w:t>
            </w:r>
          </w:p>
        </w:tc>
      </w:tr>
    </w:tbl>
    <w:p w14:paraId="45A2010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p>
    <w:p w14:paraId="5117B01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13.5 支付方式</w:t>
      </w:r>
    </w:p>
    <w:tbl>
      <w:tblPr>
        <w:tblStyle w:val="81"/>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15"/>
        <w:gridCol w:w="1716"/>
        <w:gridCol w:w="5157"/>
      </w:tblGrid>
      <w:tr w14:paraId="281D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98" w:type="pct"/>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71931748">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支付期次</w:t>
            </w:r>
          </w:p>
        </w:tc>
        <w:tc>
          <w:tcPr>
            <w:tcW w:w="999" w:type="pct"/>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4A0ECA6E">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支付比例（%）</w:t>
            </w:r>
          </w:p>
        </w:tc>
        <w:tc>
          <w:tcPr>
            <w:tcW w:w="3001" w:type="pct"/>
            <w:tcBorders>
              <w:top w:val="inset" w:color="000000" w:sz="8" w:space="0"/>
              <w:left w:val="inset" w:color="000000" w:sz="8" w:space="0"/>
              <w:bottom w:val="inset" w:color="000000" w:sz="8" w:space="0"/>
              <w:right w:val="inset" w:color="000000" w:sz="8" w:space="0"/>
            </w:tcBorders>
            <w:shd w:val="clear" w:color="auto" w:fill="FFFFFF"/>
            <w:tcMar>
              <w:top w:w="10" w:type="dxa"/>
              <w:left w:w="118" w:type="dxa"/>
              <w:bottom w:w="10" w:type="dxa"/>
              <w:right w:w="118" w:type="dxa"/>
            </w:tcMar>
            <w:vAlign w:val="center"/>
          </w:tcPr>
          <w:p w14:paraId="5A00D56E">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支付期次说明</w:t>
            </w:r>
          </w:p>
        </w:tc>
      </w:tr>
      <w:tr w14:paraId="5D40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03C115C9">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1</w:t>
            </w:r>
          </w:p>
        </w:tc>
        <w:tc>
          <w:tcPr>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7331325F">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50</w:t>
            </w:r>
          </w:p>
        </w:tc>
        <w:tc>
          <w:tcPr>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40C26DF7">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签订协议后一</w:t>
            </w:r>
            <w:r>
              <w:rPr>
                <w:rStyle w:val="82"/>
                <w:rFonts w:hint="eastAsia" w:ascii="宋体" w:hAnsi="宋体" w:cs="宋体"/>
                <w:color w:val="000000" w:themeColor="text1"/>
                <w:kern w:val="0"/>
                <w:sz w:val="24"/>
                <w:szCs w:val="24"/>
                <w:highlight w:val="none"/>
                <w:lang w:eastAsia="zh-CN"/>
                <w14:textFill>
                  <w14:solidFill>
                    <w14:schemeClr w14:val="tx1"/>
                  </w14:solidFill>
                </w14:textFill>
              </w:rPr>
              <w:t>个月</w:t>
            </w:r>
            <w:r>
              <w:rPr>
                <w:rStyle w:val="82"/>
                <w:rFonts w:hint="eastAsia" w:ascii="宋体" w:hAnsi="宋体" w:eastAsia="宋体" w:cs="宋体"/>
                <w:color w:val="000000" w:themeColor="text1"/>
                <w:kern w:val="0"/>
                <w:sz w:val="24"/>
                <w:szCs w:val="24"/>
                <w:highlight w:val="none"/>
                <w14:textFill>
                  <w14:solidFill>
                    <w14:schemeClr w14:val="tx1"/>
                  </w14:solidFill>
                </w14:textFill>
              </w:rPr>
              <w:t>内，支付合同总额的50%</w:t>
            </w:r>
          </w:p>
        </w:tc>
      </w:tr>
      <w:tr w14:paraId="2D24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2E9627DE">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2</w:t>
            </w:r>
          </w:p>
        </w:tc>
        <w:tc>
          <w:tcPr>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14B503D4">
            <w:pPr>
              <w:pStyle w:val="80"/>
              <w:widowControl/>
              <w:spacing w:before="270" w:after="270"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50</w:t>
            </w:r>
          </w:p>
        </w:tc>
        <w:tc>
          <w:tcPr>
            <w:tcBorders>
              <w:left w:val="inset" w:color="000000" w:sz="8" w:space="0"/>
              <w:bottom w:val="inset" w:color="000000" w:sz="8" w:space="0"/>
              <w:right w:val="inset" w:color="000000" w:sz="8" w:space="0"/>
            </w:tcBorders>
            <w:shd w:val="clear" w:color="auto" w:fill="FFFFFF"/>
            <w:tcMar>
              <w:top w:w="0" w:type="dxa"/>
              <w:left w:w="118" w:type="dxa"/>
              <w:bottom w:w="10" w:type="dxa"/>
              <w:right w:w="118" w:type="dxa"/>
            </w:tcMar>
            <w:vAlign w:val="center"/>
          </w:tcPr>
          <w:p w14:paraId="2878FBAA">
            <w:pPr>
              <w:pStyle w:val="80"/>
              <w:widowControl/>
              <w:spacing w:before="270" w:after="270"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Style w:val="82"/>
                <w:rFonts w:hint="eastAsia" w:ascii="宋体" w:hAnsi="宋体" w:eastAsia="宋体" w:cs="宋体"/>
                <w:color w:val="000000" w:themeColor="text1"/>
                <w:kern w:val="0"/>
                <w:sz w:val="24"/>
                <w:szCs w:val="24"/>
                <w:highlight w:val="none"/>
                <w14:textFill>
                  <w14:solidFill>
                    <w14:schemeClr w14:val="tx1"/>
                  </w14:solidFill>
                </w14:textFill>
              </w:rPr>
              <w:t>运维期结束后，根据运维报告支付50%</w:t>
            </w:r>
            <w:r>
              <w:rPr>
                <w:rStyle w:val="82"/>
                <w:rFonts w:hint="eastAsia" w:ascii="宋体" w:hAnsi="宋体" w:cs="宋体"/>
                <w:color w:val="000000" w:themeColor="text1"/>
                <w:kern w:val="0"/>
                <w:sz w:val="24"/>
                <w:szCs w:val="24"/>
                <w:highlight w:val="none"/>
                <w:lang w:eastAsia="zh-CN"/>
                <w14:textFill>
                  <w14:solidFill>
                    <w14:schemeClr w14:val="tx1"/>
                  </w14:solidFill>
                </w14:textFill>
              </w:rPr>
              <w:t>尾</w:t>
            </w:r>
            <w:r>
              <w:rPr>
                <w:rStyle w:val="82"/>
                <w:rFonts w:hint="eastAsia" w:ascii="宋体" w:hAnsi="宋体" w:eastAsia="宋体" w:cs="宋体"/>
                <w:color w:val="000000" w:themeColor="text1"/>
                <w:kern w:val="0"/>
                <w:sz w:val="24"/>
                <w:szCs w:val="24"/>
                <w:highlight w:val="none"/>
                <w14:textFill>
                  <w14:solidFill>
                    <w14:schemeClr w14:val="tx1"/>
                  </w14:solidFill>
                </w14:textFill>
              </w:rPr>
              <w:t>款</w:t>
            </w:r>
          </w:p>
        </w:tc>
      </w:tr>
    </w:tbl>
    <w:p w14:paraId="61F1BD7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 </w:t>
      </w:r>
    </w:p>
    <w:p w14:paraId="1F29F3D2">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 商务响应要求</w:t>
      </w:r>
    </w:p>
    <w:p w14:paraId="57AABB05">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14.1 供应商应具有良好的商业信誉和健全的财务会计制度，具有履行合同所必需的专业技术与服务能力，有依法缴纳税收和社会保障资金的良好记录。</w:t>
      </w:r>
    </w:p>
    <w:p w14:paraId="30FFDD7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14.2 供应商应提供履约能力基本情况的说明，及其2021年1月1日至今（以合同签订时间为准）经营的同类业绩、经验的有效证明文件。</w:t>
      </w:r>
    </w:p>
    <w:p w14:paraId="579A1FF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14.3 供应商须提供拟投入本项目的机械设备、工具的一览表。</w:t>
      </w:r>
    </w:p>
    <w:p w14:paraId="2D0BA13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14.4 供应商须提供详细费用明细表，明确本项目的人工费、材料费、机械费、专项费用、管理费等费用组成。</w:t>
      </w:r>
    </w:p>
    <w:p w14:paraId="276C13D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14.5 供应商应明确报价响应和采购要求存在正负偏离情况，对照采购文件要求，逐条说明所提供服务已对采购人的技术、商务要求做出了实质性的响应，或申明与技术、商务要求条文的偏差和例外并列于响应文件中。</w:t>
      </w:r>
    </w:p>
    <w:p w14:paraId="16F4C7C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14.6 响应文件至少应包含响应函、报价明细表、服务方案及服务承诺、拟投入人员情况表、拟投入的工具配备情况表、供应商的资格证明材料及本采购文件要求的其他资格证明文件等。</w:t>
      </w:r>
    </w:p>
    <w:p w14:paraId="121098CF">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 报价要求</w:t>
      </w:r>
    </w:p>
    <w:p w14:paraId="6E2CA6C0">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15.1 本次采购为整体采购，供应商必须对采购项目的所有内容及服务进行报价响应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val="0"/>
          <w:color w:val="000000" w:themeColor="text1"/>
          <w:sz w:val="24"/>
          <w:szCs w:val="24"/>
          <w:highlight w:val="none"/>
          <w14:textFill>
            <w14:solidFill>
              <w14:schemeClr w14:val="tx1"/>
            </w14:solidFill>
          </w14:textFill>
        </w:rPr>
        <w:t>拆分报价或不完整响应的将视为无效响应。</w:t>
      </w:r>
    </w:p>
    <w:p w14:paraId="4FC4BD1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15.2 本次采购为国内采购，报价以人民币为货币单位，应分单价、小计和总价。</w:t>
      </w:r>
    </w:p>
    <w:p w14:paraId="6881725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15.3 供应商应在首次报价中提供报价明细表，若在最后报价中未提供报价明细的，则按同一比率(μ)调整各分项价格(μ=最后总报价÷响应文件的总报价，调整后的分项价格＝响应文件的分项报价×μ)。</w:t>
      </w:r>
    </w:p>
    <w:p w14:paraId="5EFDF464">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15.4 ★本次采购为包干制，总价为承包运维期限内的所有费用，应包括且不限于耗材、易耗件、备品备件、子站电费、子站租金、交通费、维修费、保险费、税费、人工费等所有与完成本项目有关的费用。采购人不接受有选择性的报价。供应商一旦成交，除成交金额外，采购人将不会支付其他任何费用，供应商须对此进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作出书面承诺（格式自拟）并加盖单位公章</w:t>
      </w:r>
      <w:r>
        <w:rPr>
          <w:rFonts w:hint="default" w:ascii="宋体" w:hAnsi="宋体" w:eastAsia="宋体" w:cs="宋体"/>
          <w:b w:val="0"/>
          <w:bCs w:val="0"/>
          <w:color w:val="000000" w:themeColor="text1"/>
          <w:sz w:val="24"/>
          <w:szCs w:val="24"/>
          <w:highlight w:val="none"/>
          <w14:textFill>
            <w14:solidFill>
              <w14:schemeClr w14:val="tx1"/>
            </w14:solidFill>
          </w14:textFill>
        </w:rPr>
        <w:t>。</w:t>
      </w:r>
    </w:p>
    <w:p w14:paraId="41E17E9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15.5 供应商漏报的单价或每单价报价中漏报、少报的费用，视为此项费用已隐含在总报价中，成交后不得再向采购人收取任何费用。</w:t>
      </w:r>
    </w:p>
    <w:p w14:paraId="5437A11A">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15.6 供应商对本项目只能有一个报价，采购单位不接受有选择的报价。</w:t>
      </w:r>
    </w:p>
    <w:p w14:paraId="44E5127D">
      <w:pPr>
        <w:spacing w:line="360" w:lineRule="auto"/>
        <w:ind w:firstLine="482" w:firstLineChars="200"/>
        <w:rPr>
          <w:rFonts w:hint="default"/>
          <w:color w:val="000000" w:themeColor="text1"/>
          <w:highlight w:val="none"/>
          <w14:textFill>
            <w14:solidFill>
              <w14:schemeClr w14:val="tx1"/>
            </w14:solidFill>
          </w14:textFill>
        </w:rPr>
      </w:pPr>
      <w:r>
        <w:rPr>
          <w:rFonts w:hint="eastAsia" w:ascii="宋体" w:hAnsi="宋体" w:cs="宋体"/>
          <w:b/>
          <w:bCs w:val="0"/>
          <w:color w:val="000000" w:themeColor="text1"/>
          <w:kern w:val="0"/>
          <w:sz w:val="24"/>
          <w:szCs w:val="24"/>
          <w:highlight w:val="none"/>
          <w:lang w:eastAsia="zh-CN"/>
          <w14:textFill>
            <w14:solidFill>
              <w14:schemeClr w14:val="tx1"/>
            </w14:solidFill>
          </w14:textFill>
        </w:rPr>
        <w:t>★</w:t>
      </w:r>
      <w:r>
        <w:rPr>
          <w:rFonts w:hint="eastAsia" w:ascii="宋体" w:hAnsi="宋体" w:cs="宋体"/>
          <w:b/>
          <w:bCs w:val="0"/>
          <w:color w:val="000000" w:themeColor="text1"/>
          <w:kern w:val="0"/>
          <w:sz w:val="24"/>
          <w:szCs w:val="24"/>
          <w:highlight w:val="none"/>
          <w:lang w:val="en-US" w:eastAsia="zh-CN"/>
          <w14:textFill>
            <w14:solidFill>
              <w14:schemeClr w14:val="tx1"/>
            </w14:solidFill>
          </w14:textFill>
        </w:rPr>
        <w:t>15.7、</w:t>
      </w:r>
      <w:r>
        <w:rPr>
          <w:rFonts w:hint="eastAsia" w:ascii="宋体" w:hAnsi="宋体" w:eastAsia="宋体" w:cs="宋体"/>
          <w:b/>
          <w:bCs w:val="0"/>
          <w:color w:val="000000" w:themeColor="text1"/>
          <w:kern w:val="0"/>
          <w:sz w:val="24"/>
          <w:szCs w:val="24"/>
          <w:highlight w:val="none"/>
          <w14:textFill>
            <w14:solidFill>
              <w14:schemeClr w14:val="tx1"/>
            </w14:solidFill>
          </w14:textFill>
        </w:rPr>
        <w:t>本采购项目的采购预算为人民币</w:t>
      </w:r>
      <w:r>
        <w:rPr>
          <w:rFonts w:hint="eastAsia" w:ascii="宋体" w:hAnsi="宋体" w:cs="宋体"/>
          <w:b/>
          <w:bCs w:val="0"/>
          <w:color w:val="000000" w:themeColor="text1"/>
          <w:kern w:val="0"/>
          <w:sz w:val="24"/>
          <w:szCs w:val="24"/>
          <w:highlight w:val="none"/>
          <w:lang w:eastAsia="zh-CN"/>
          <w14:textFill>
            <w14:solidFill>
              <w14:schemeClr w14:val="tx1"/>
            </w14:solidFill>
          </w14:textFill>
        </w:rPr>
        <w:t>19</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万</w:t>
      </w:r>
      <w:r>
        <w:rPr>
          <w:rFonts w:hint="eastAsia" w:ascii="宋体" w:hAnsi="宋体" w:eastAsia="宋体" w:cs="宋体"/>
          <w:b/>
          <w:bCs w:val="0"/>
          <w:color w:val="000000" w:themeColor="text1"/>
          <w:kern w:val="0"/>
          <w:sz w:val="24"/>
          <w:szCs w:val="24"/>
          <w:highlight w:val="none"/>
          <w14:textFill>
            <w14:solidFill>
              <w14:schemeClr w14:val="tx1"/>
            </w14:solidFill>
          </w14:textFill>
        </w:rPr>
        <w:t>元，采购预算为总报价的最高限价，任何一次总报价超过采购预算的属无效报价。</w:t>
      </w:r>
    </w:p>
    <w:p w14:paraId="711FFD5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w:t>
      </w:r>
      <w:r>
        <w:rPr>
          <w:rFonts w:hint="default" w:ascii="宋体" w:hAnsi="宋体" w:eastAsia="宋体" w:cs="宋体"/>
          <w:b w:val="0"/>
          <w:bCs w:val="0"/>
          <w:color w:val="000000" w:themeColor="text1"/>
          <w:sz w:val="24"/>
          <w:szCs w:val="24"/>
          <w:highlight w:val="none"/>
          <w14:textFill>
            <w14:solidFill>
              <w14:schemeClr w14:val="tx1"/>
            </w14:solidFill>
          </w14:textFill>
        </w:rPr>
        <w:t> 供应商可进行现场勘察，了解现有设备的运行现状及设备运行环境、使用频率等，自行测算费用及经营风险，并包干报价，决算时不予调整。</w:t>
      </w:r>
    </w:p>
    <w:p w14:paraId="709ADF8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w:t>
      </w:r>
      <w:r>
        <w:rPr>
          <w:rFonts w:hint="default" w:ascii="宋体" w:hAnsi="宋体" w:eastAsia="宋体" w:cs="宋体"/>
          <w:b w:val="0"/>
          <w:bCs w:val="0"/>
          <w:color w:val="000000" w:themeColor="text1"/>
          <w:sz w:val="24"/>
          <w:szCs w:val="24"/>
          <w:highlight w:val="none"/>
          <w14:textFill>
            <w14:solidFill>
              <w14:schemeClr w14:val="tx1"/>
            </w14:solidFill>
          </w14:textFill>
        </w:rPr>
        <w:t>  仪器损坏需更换零部件的，均由成交供应商承担。</w:t>
      </w:r>
    </w:p>
    <w:p w14:paraId="6B0DE2B8">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w:t>
      </w:r>
      <w:r>
        <w:rPr>
          <w:rFonts w:hint="default" w:ascii="宋体" w:hAnsi="宋体" w:eastAsia="宋体" w:cs="宋体"/>
          <w:b w:val="0"/>
          <w:bCs w:val="0"/>
          <w:color w:val="000000" w:themeColor="text1"/>
          <w:sz w:val="24"/>
          <w:szCs w:val="24"/>
          <w:highlight w:val="none"/>
          <w14:textFill>
            <w14:solidFill>
              <w14:schemeClr w14:val="tx1"/>
            </w14:solidFill>
          </w14:textFill>
        </w:rPr>
        <w:t> 在合同履行期，若出现所管理的监测站点发生改建、扩建、增加（或减少）管理范围或设备等情况，双方应协商解决。</w:t>
      </w:r>
    </w:p>
    <w:p w14:paraId="0605422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16 知识产权要求</w:t>
      </w:r>
    </w:p>
    <w:p w14:paraId="5AFD4C76">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16.1 供应商必须对采购人提供的资料及与本项目相关的一切资料履行保密责任，未经采购人书面许可，不得向任何第三方复制、转让、使用、引用，供应商也不得用于其他的任何场合。</w:t>
      </w:r>
    </w:p>
    <w:p w14:paraId="05B01439">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16.2 供应商提供的一切服务或成果资料必须是自主研究、自主编制的，并保证采购人在使用过程的任何时候不受到知识产权或版权的纠纷。供应商应保证采购人在使用该资料或其任何一部分时免受第三方提出侵犯其专利权、商标权等的起诉。否则，由此产生的责任,完全由或供应商承担。</w:t>
      </w:r>
    </w:p>
    <w:p w14:paraId="5C3F808D">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16.3 供应商的服务成果所有权归属采购人所有。采购人有权在成果文件审批后公开展示本次项目成果，并通过传播媒介、专业杂志、书刊或其它形式介绍、展示及评价项目成果。</w:t>
      </w:r>
    </w:p>
    <w:p w14:paraId="7D683FC1">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 </w:t>
      </w:r>
    </w:p>
    <w:p w14:paraId="3132F43E">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default" w:ascii="宋体" w:hAnsi="宋体" w:eastAsia="宋体" w:cs="宋体"/>
          <w:b w:val="0"/>
          <w:bCs w:val="0"/>
          <w:color w:val="000000" w:themeColor="text1"/>
          <w:sz w:val="24"/>
          <w:szCs w:val="24"/>
          <w:highlight w:val="none"/>
          <w14:textFill>
            <w14:solidFill>
              <w14:schemeClr w14:val="tx1"/>
            </w14:solidFill>
          </w14:textFill>
        </w:rPr>
        <w:t>、其他事项</w:t>
      </w:r>
    </w:p>
    <w:p w14:paraId="4F8DF2E3">
      <w:pPr>
        <w:pStyle w:val="3"/>
        <w:keepNext w:val="0"/>
        <w:keepLines w:val="0"/>
        <w:spacing w:before="0" w:after="0" w:line="360" w:lineRule="auto"/>
        <w:ind w:firstLine="470" w:firstLineChars="196"/>
        <w:rPr>
          <w:rFonts w:hint="default" w:ascii="宋体" w:hAnsi="宋体" w:eastAsia="宋体" w:cs="宋体"/>
          <w:b w:val="0"/>
          <w:bCs w:val="0"/>
          <w:color w:val="000000" w:themeColor="text1"/>
          <w:sz w:val="24"/>
          <w:szCs w:val="24"/>
          <w:highlight w:val="none"/>
          <w14:textFill>
            <w14:solidFill>
              <w14:schemeClr w14:val="tx1"/>
            </w14:solidFill>
          </w14:textFill>
        </w:rPr>
      </w:pPr>
      <w:r>
        <w:rPr>
          <w:rFonts w:hint="default" w:ascii="宋体" w:hAnsi="宋体" w:eastAsia="宋体" w:cs="宋体"/>
          <w:b w:val="0"/>
          <w:bCs w:val="0"/>
          <w:color w:val="000000" w:themeColor="text1"/>
          <w:sz w:val="24"/>
          <w:szCs w:val="24"/>
          <w:highlight w:val="none"/>
          <w14:textFill>
            <w14:solidFill>
              <w14:schemeClr w14:val="tx1"/>
            </w14:solidFill>
          </w14:textFill>
        </w:rPr>
        <w:t>除磋商文件另有规定外，若出现有关法律、法规和规章有强制性规定但磋商文件未列明的情形，则供应商应按照有关法律、法规和规章强制性规定执行。</w:t>
      </w:r>
    </w:p>
    <w:p w14:paraId="7CE3634E">
      <w:pPr>
        <w:pStyle w:val="3"/>
        <w:keepNext w:val="0"/>
        <w:keepLines w:val="0"/>
        <w:spacing w:before="0" w:after="0" w:line="360" w:lineRule="auto"/>
        <w:ind w:firstLine="472" w:firstLineChars="196"/>
        <w:rPr>
          <w:rFonts w:hint="default" w:ascii="宋体" w:hAnsi="宋体" w:eastAsia="宋体" w:cs="宋体"/>
          <w:b/>
          <w:color w:val="000000" w:themeColor="text1"/>
          <w:sz w:val="24"/>
          <w:szCs w:val="24"/>
          <w:highlight w:val="none"/>
          <w:lang w:val="en-US"/>
          <w14:textFill>
            <w14:solidFill>
              <w14:schemeClr w14:val="tx1"/>
            </w14:solidFill>
          </w14:textFill>
        </w:rPr>
      </w:pPr>
    </w:p>
    <w:bookmarkEnd w:id="0"/>
    <w:p w14:paraId="67232649">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1" w:name="_Toc268599010"/>
    </w:p>
    <w:p w14:paraId="47D1C5C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3298B8E">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DA326B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5A1B54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605BB7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EBC904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71A29C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9E604C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32B34E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DA63815">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8F78DA2">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C655F0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第四章   </w:t>
      </w:r>
      <w:r>
        <w:rPr>
          <w:rFonts w:hint="eastAsia" w:ascii="宋体" w:hAnsi="宋体" w:eastAsia="宋体" w:cs="宋体"/>
          <w:b/>
          <w:color w:val="000000" w:themeColor="text1"/>
          <w:sz w:val="32"/>
          <w:szCs w:val="32"/>
          <w:highlight w:val="none"/>
          <w14:textFill>
            <w14:solidFill>
              <w14:schemeClr w14:val="tx1"/>
            </w14:solidFill>
          </w14:textFill>
        </w:rPr>
        <w:t>政府采购合同</w:t>
      </w:r>
    </w:p>
    <w:tbl>
      <w:tblPr>
        <w:tblStyle w:val="2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4"/>
      </w:tblGrid>
      <w:tr w14:paraId="246E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24" w:type="dxa"/>
            <w:tcBorders>
              <w:top w:val="single" w:color="auto" w:sz="4" w:space="0"/>
              <w:left w:val="single" w:color="auto" w:sz="4" w:space="0"/>
              <w:bottom w:val="single" w:color="auto" w:sz="4" w:space="0"/>
              <w:right w:val="single" w:color="auto" w:sz="4" w:space="0"/>
            </w:tcBorders>
            <w:noWrap w:val="0"/>
            <w:vAlign w:val="top"/>
          </w:tcPr>
          <w:p w14:paraId="628ECC5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1844590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的实质性内容相背离。</w:t>
            </w:r>
          </w:p>
        </w:tc>
      </w:tr>
    </w:tbl>
    <w:p w14:paraId="2471E82D">
      <w:pPr>
        <w:spacing w:line="360" w:lineRule="auto"/>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633416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569C014">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乙方（成交供应商）：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14:paraId="12FB70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E7966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根据甲方委托</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eastAsia="宋体" w:cs="宋体"/>
          <w:color w:val="000000" w:themeColor="text1"/>
          <w:sz w:val="24"/>
          <w:szCs w:val="24"/>
          <w:highlight w:val="none"/>
          <w:u w:val="single"/>
          <w14:textFill>
            <w14:solidFill>
              <w14:schemeClr w14:val="tx1"/>
            </w14:solidFill>
          </w14:textFill>
        </w:rPr>
        <w:t>（成交供应商）</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及有关法律、法规、规章规定的内容，双方达成如下协议：</w:t>
      </w:r>
    </w:p>
    <w:p w14:paraId="238195B9">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一、合同标的和合同价格</w:t>
      </w:r>
    </w:p>
    <w:tbl>
      <w:tblPr>
        <w:tblStyle w:val="2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778"/>
      </w:tblGrid>
      <w:tr w14:paraId="3A06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14:paraId="1C374197">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5693639">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7746B36F">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4099597">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5E51023">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 价</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0A516F22">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r>
      <w:tr w14:paraId="335B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0203D8A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E3EF31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D95918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03054CF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675F97E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37A400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7A877E4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88A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43F884C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0126EAA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80B74D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A662B5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0D564D4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E99596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209F732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08F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11B3B59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C0746C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DE3EED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074FE2E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4B81A9D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1ED2E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04FD04D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0B7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7807A20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E72CBF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B58135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018055C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11A6F0B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54161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63ECDDA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1347446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二、乙方应按下列要求完成服务工作：</w:t>
      </w:r>
    </w:p>
    <w:p w14:paraId="44A96EF8">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D5122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2.服务进度：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22D1F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3.服务质量要求：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490F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4.服务期限要求：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1DCC6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三、为保证乙方有效进行服务工作，甲方应当向乙方提供下列工作条件和协作事项：</w:t>
      </w:r>
    </w:p>
    <w:p w14:paraId="5D707EC2">
      <w:pPr>
        <w:spacing w:line="360" w:lineRule="auto"/>
        <w:ind w:right="-21" w:rightChars="-10" w:firstLine="5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1. 提供技术资料：</w:t>
      </w:r>
      <w:r>
        <w:rPr>
          <w:rFonts w:hint="eastAsia" w:ascii="宋体" w:hAnsi="宋体" w:eastAsia="宋体" w:cs="宋体"/>
          <w:color w:val="000000" w:themeColor="text1"/>
          <w:spacing w:val="-20"/>
          <w:sz w:val="24"/>
          <w:szCs w:val="24"/>
          <w:highlight w:val="none"/>
          <w14:textFill>
            <w14:solidFill>
              <w14:schemeClr w14:val="tx1"/>
            </w14:solidFill>
          </w14:textFill>
        </w:rPr>
        <w:cr/>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2. 提供工作条件：</w:t>
      </w:r>
    </w:p>
    <w:p w14:paraId="33552F1D">
      <w:pPr>
        <w:spacing w:line="360" w:lineRule="auto"/>
        <w:ind w:right="-21" w:rightChars="-10"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2908EDE">
      <w:pPr>
        <w:spacing w:line="360" w:lineRule="auto"/>
        <w:ind w:right="-21" w:rightChars="-10" w:firstLine="480" w:firstLineChars="20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5351A057">
      <w:pPr>
        <w:spacing w:line="360" w:lineRule="auto"/>
        <w:ind w:right="-21" w:rightChars="-1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 甲方提供上述工作条件和协作事项的时间及方式：</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10B25F96">
      <w:pPr>
        <w:spacing w:line="360" w:lineRule="auto"/>
        <w:ind w:right="-21" w:rightChars="-10"/>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p>
    <w:p w14:paraId="742681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 甲方向乙方支付服务报酬及支付方式为:</w:t>
      </w:r>
    </w:p>
    <w:p w14:paraId="6FEB1F84">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1.本合同价款为固定总价价款，项目结算时除合同另有约定外均不予调整。本合同价款为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E56936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2.服务费由甲方分期支付给乙方。</w:t>
      </w:r>
    </w:p>
    <w:p w14:paraId="07AAF588">
      <w:pPr>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具体支付方式和时间如下：</w:t>
      </w:r>
    </w:p>
    <w:p w14:paraId="691665C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五、本合同的变更必须由双方协商一致，并以书面形式确定。</w:t>
      </w:r>
    </w:p>
    <w:p w14:paraId="19DA7A2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 双方确定以下列标准和方式对乙方的服务工作成果进行验收：</w:t>
      </w:r>
    </w:p>
    <w:p w14:paraId="4E09BFF8">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1、乙方完成服务工作的形式：</w:t>
      </w:r>
    </w:p>
    <w:p w14:paraId="2D39285A">
      <w:pPr>
        <w:spacing w:line="360" w:lineRule="auto"/>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2、服务工作成果的验收标准：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国家、地方和行业现行有关技术规范、标准、设计要求以及甲方有关指令。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F5B0152">
      <w:pPr>
        <w:spacing w:line="360" w:lineRule="auto"/>
        <w:ind w:firstLine="460" w:firstLineChars="19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3、服务工作成果的验收方法：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C02DB7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4、在本合同有效期或约定的服务期内，乙方在接到甲方故障通知后               </w:t>
      </w:r>
    </w:p>
    <w:p w14:paraId="77B9778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小时内应委派专业技术人员到现场免费提供咨询等服务。</w:t>
      </w:r>
    </w:p>
    <w:p w14:paraId="4F4A2F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七、双方确定，按以下约定承担各自的违约责任：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36E8D4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八、双方确定，在本协议有效期内，甲方指定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为甲方项目联系人,乙方指定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14:paraId="72046B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九、双方因履行本合同或与本合同有关一切事项而发生的争议，应协商解决。协商不成的，确定按以下第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种方式处理：</w:t>
      </w:r>
    </w:p>
    <w:p w14:paraId="3B9BE5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1.提交</w:t>
      </w:r>
      <w:r>
        <w:rPr>
          <w:rFonts w:hint="eastAsia" w:ascii="宋体" w:hAnsi="宋体" w:eastAsia="宋体" w:cs="宋体"/>
          <w:color w:val="000000" w:themeColor="text1"/>
          <w:sz w:val="24"/>
          <w:szCs w:val="24"/>
          <w:highlight w:val="none"/>
          <w:u w:val="single"/>
          <w14:textFill>
            <w14:solidFill>
              <w14:schemeClr w14:val="tx1"/>
            </w14:solidFill>
          </w14:textFill>
        </w:rPr>
        <w:t>（甲方所在地）</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14:paraId="1A9E7E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2.依法向项目所在地人民法院提出诉讼。</w:t>
      </w:r>
    </w:p>
    <w:p w14:paraId="779C20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十、本合同一式</w:t>
      </w:r>
      <w:r>
        <w:rPr>
          <w:rFonts w:hint="eastAsia" w:ascii="宋体" w:hAnsi="宋体" w:eastAsia="宋体" w:cs="宋体"/>
          <w:color w:val="000000" w:themeColor="text1"/>
          <w:sz w:val="24"/>
          <w:szCs w:val="24"/>
          <w:highlight w:val="none"/>
          <w:u w:val="singl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份,甲方执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份，送采购代理机构备份一份，具有同等法律效力.</w:t>
      </w:r>
    </w:p>
    <w:p w14:paraId="7D34D8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十一、本合同经双方签字盖章后生效，有关权利义务全部履结后自动失效。                  </w:t>
      </w:r>
    </w:p>
    <w:p w14:paraId="5D22E5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十二、补充条款。</w:t>
      </w:r>
    </w:p>
    <w:p w14:paraId="1E9D32AD">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1.甲方编发的采购文件和乙方的</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（含修正和补充文件）以及相关的澄清确认函件（如有）均为本合同组成文件。</w:t>
      </w:r>
    </w:p>
    <w:p w14:paraId="749E69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2.乙方的项目组成员和经批准的技术工作方案的任何调整均必须事先获得甲方的书面批准，否则按照违约事件处理。</w:t>
      </w:r>
    </w:p>
    <w:p w14:paraId="6D6E7A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3.乙方的履约保函等合同文件必须与本合同的签订同步提交。</w:t>
      </w:r>
    </w:p>
    <w:p w14:paraId="32E12E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4.乙方必须及时和负责任地参加甲方、总监和质量监督部门组织的有关会议等活动，正确履行有关合同职责和法定职责，规范提供优质专业服务和支持。</w:t>
      </w:r>
    </w:p>
    <w:p w14:paraId="42134A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5.本合同未尽事宜，双方另行补充。</w:t>
      </w:r>
    </w:p>
    <w:p w14:paraId="3BABCB9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63F37C4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4E37A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乙    方：</w:t>
      </w:r>
    </w:p>
    <w:p w14:paraId="76812AD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14:paraId="31C3FBB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14:paraId="0F8C926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14:paraId="258419C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14:paraId="1EC26B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14:paraId="4FCE50B4">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                            账    号：</w:t>
      </w:r>
      <w:bookmarkEnd w:id="1"/>
      <w:bookmarkStart w:id="2" w:name="_Toc268599011"/>
    </w:p>
    <w:p w14:paraId="7C0F4A18">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D89C899">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E1BD0B0">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6CBF5E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E99CE70">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77EAF5E">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B0D9FA5">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64B30EA">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D406918">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63AA2B6">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34831C5A">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05C9B3D4">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B6FEA8E">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ED6CE4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C98CD78">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5FE498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31A7207">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6714306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1C39FCD4">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E06902F">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4AF0032C">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32E7A2E9">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30952150">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0FC7B97D">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0FAA6787">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08D20E4">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w:t>
      </w:r>
      <w:r>
        <w:rPr>
          <w:rFonts w:hint="default" w:ascii="宋体" w:hAnsi="宋体" w:cs="宋体"/>
          <w:b/>
          <w:bCs/>
          <w:color w:val="000000" w:themeColor="text1"/>
          <w:sz w:val="32"/>
          <w:szCs w:val="32"/>
          <w:highlight w:val="none"/>
          <w:lang w:val="en-US"/>
          <w14:textFill>
            <w14:solidFill>
              <w14:schemeClr w14:val="tx1"/>
            </w14:solidFill>
          </w14:textFill>
        </w:rPr>
        <w:t>磋商响应文件</w:t>
      </w:r>
      <w:r>
        <w:rPr>
          <w:rFonts w:hint="eastAsia" w:ascii="宋体" w:hAnsi="宋体" w:eastAsia="宋体" w:cs="宋体"/>
          <w:b/>
          <w:bCs/>
          <w:color w:val="000000" w:themeColor="text1"/>
          <w:sz w:val="32"/>
          <w:szCs w:val="32"/>
          <w:highlight w:val="none"/>
          <w14:textFill>
            <w14:solidFill>
              <w14:schemeClr w14:val="tx1"/>
            </w14:solidFill>
          </w14:textFill>
        </w:rPr>
        <w:t>格式</w:t>
      </w:r>
      <w:bookmarkEnd w:id="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C02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5BD9BC8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70F5C369">
            <w:pPr>
              <w:spacing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格式》是</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的部分</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格式和签订合同时所需文件的格式。</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应参照这些格式文件制作</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4ACF0DF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E94C04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C1A3FA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254F00D">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AD8F4B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CDED6F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3DABAAB">
      <w:pPr>
        <w:spacing w:line="360" w:lineRule="auto"/>
        <w:jc w:val="center"/>
        <w:rPr>
          <w:rFonts w:hint="eastAsia" w:ascii="宋体" w:hAnsi="宋体"/>
          <w:b/>
          <w:color w:val="000000" w:themeColor="text1"/>
          <w:sz w:val="72"/>
          <w:highlight w:val="none"/>
          <w14:textFill>
            <w14:solidFill>
              <w14:schemeClr w14:val="tx1"/>
            </w14:solidFill>
          </w14:textFill>
        </w:rPr>
      </w:pPr>
    </w:p>
    <w:p w14:paraId="1001C396">
      <w:pPr>
        <w:spacing w:line="360" w:lineRule="auto"/>
        <w:jc w:val="center"/>
        <w:rPr>
          <w:rFonts w:hint="eastAsia" w:ascii="宋体" w:hAnsi="宋体"/>
          <w:b/>
          <w:color w:val="000000" w:themeColor="text1"/>
          <w:sz w:val="72"/>
          <w:highlight w:val="none"/>
          <w14:textFill>
            <w14:solidFill>
              <w14:schemeClr w14:val="tx1"/>
            </w14:solidFill>
          </w14:textFill>
        </w:rPr>
      </w:pPr>
    </w:p>
    <w:p w14:paraId="7AA44193">
      <w:pPr>
        <w:spacing w:line="360" w:lineRule="auto"/>
        <w:jc w:val="center"/>
        <w:rPr>
          <w:rFonts w:hint="eastAsia" w:ascii="宋体" w:hAnsi="宋体"/>
          <w:b/>
          <w:color w:val="000000" w:themeColor="text1"/>
          <w:sz w:val="72"/>
          <w:highlight w:val="none"/>
          <w14:textFill>
            <w14:solidFill>
              <w14:schemeClr w14:val="tx1"/>
            </w14:solidFill>
          </w14:textFill>
        </w:rPr>
      </w:pPr>
    </w:p>
    <w:p w14:paraId="0FD0583D">
      <w:pPr>
        <w:spacing w:line="360" w:lineRule="auto"/>
        <w:jc w:val="center"/>
        <w:rPr>
          <w:rFonts w:hint="eastAsia" w:ascii="宋体" w:hAnsi="宋体"/>
          <w:b/>
          <w:color w:val="000000" w:themeColor="text1"/>
          <w:sz w:val="72"/>
          <w:highlight w:val="none"/>
          <w14:textFill>
            <w14:solidFill>
              <w14:schemeClr w14:val="tx1"/>
            </w14:solidFill>
          </w14:textFill>
        </w:rPr>
      </w:pPr>
    </w:p>
    <w:p w14:paraId="0DEF0A03">
      <w:pPr>
        <w:spacing w:line="360" w:lineRule="auto"/>
        <w:jc w:val="center"/>
        <w:rPr>
          <w:rFonts w:hint="eastAsia" w:ascii="宋体" w:hAnsi="宋体"/>
          <w:b/>
          <w:color w:val="000000" w:themeColor="text1"/>
          <w:sz w:val="72"/>
          <w:highlight w:val="none"/>
          <w14:textFill>
            <w14:solidFill>
              <w14:schemeClr w14:val="tx1"/>
            </w14:solidFill>
          </w14:textFill>
        </w:rPr>
      </w:pPr>
    </w:p>
    <w:p w14:paraId="176C81C4">
      <w:pPr>
        <w:spacing w:line="360" w:lineRule="auto"/>
        <w:jc w:val="center"/>
        <w:rPr>
          <w:rFonts w:hint="eastAsia" w:ascii="宋体" w:hAnsi="宋体"/>
          <w:b/>
          <w:color w:val="000000" w:themeColor="text1"/>
          <w:sz w:val="72"/>
          <w:highlight w:val="none"/>
          <w14:textFill>
            <w14:solidFill>
              <w14:schemeClr w14:val="tx1"/>
            </w14:solidFill>
          </w14:textFill>
        </w:rPr>
      </w:pPr>
    </w:p>
    <w:p w14:paraId="1C80FD12">
      <w:pPr>
        <w:spacing w:line="360" w:lineRule="auto"/>
        <w:jc w:val="center"/>
        <w:rPr>
          <w:rFonts w:hint="eastAsia" w:ascii="宋体" w:hAnsi="宋体"/>
          <w:b/>
          <w:color w:val="000000" w:themeColor="text1"/>
          <w:sz w:val="72"/>
          <w:highlight w:val="none"/>
          <w14:textFill>
            <w14:solidFill>
              <w14:schemeClr w14:val="tx1"/>
            </w14:solidFill>
          </w14:textFill>
        </w:rPr>
      </w:pPr>
    </w:p>
    <w:p w14:paraId="08980616">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4A317920">
      <w:pPr>
        <w:spacing w:line="360" w:lineRule="auto"/>
        <w:jc w:val="center"/>
        <w:rPr>
          <w:rFonts w:hint="default" w:ascii="宋体" w:hAnsi="宋体"/>
          <w:b/>
          <w:color w:val="000000" w:themeColor="text1"/>
          <w:sz w:val="72"/>
          <w:highlight w:val="none"/>
          <w:lang w:val="en-US"/>
          <w14:textFill>
            <w14:solidFill>
              <w14:schemeClr w14:val="tx1"/>
            </w14:solidFill>
          </w14:textFill>
        </w:rPr>
      </w:pPr>
      <w:r>
        <w:rPr>
          <w:rFonts w:hint="default" w:ascii="宋体" w:hAnsi="宋体"/>
          <w:b/>
          <w:color w:val="000000" w:themeColor="text1"/>
          <w:sz w:val="72"/>
          <w:highlight w:val="none"/>
          <w:lang w:val="en-US"/>
          <w14:textFill>
            <w14:solidFill>
              <w14:schemeClr w14:val="tx1"/>
            </w14:solidFill>
          </w14:textFill>
        </w:rPr>
        <w:t>磋商响应文件</w:t>
      </w:r>
    </w:p>
    <w:p w14:paraId="04FDC361">
      <w:pPr>
        <w:spacing w:line="360" w:lineRule="auto"/>
        <w:rPr>
          <w:rFonts w:hint="eastAsia" w:ascii="宋体" w:hAnsi="宋体"/>
          <w:b/>
          <w:color w:val="000000" w:themeColor="text1"/>
          <w:sz w:val="36"/>
          <w:highlight w:val="none"/>
          <w14:textFill>
            <w14:solidFill>
              <w14:schemeClr w14:val="tx1"/>
            </w14:solidFill>
          </w14:textFill>
        </w:rPr>
      </w:pPr>
    </w:p>
    <w:p w14:paraId="7C9E4F00">
      <w:pPr>
        <w:spacing w:line="360" w:lineRule="auto"/>
        <w:jc w:val="center"/>
        <w:rPr>
          <w:rFonts w:hint="eastAsia" w:ascii="宋体" w:hAnsi="宋体"/>
          <w:b/>
          <w:color w:val="000000" w:themeColor="text1"/>
          <w:sz w:val="36"/>
          <w:highlight w:val="none"/>
          <w14:textFill>
            <w14:solidFill>
              <w14:schemeClr w14:val="tx1"/>
            </w14:solidFill>
          </w14:textFill>
        </w:rPr>
      </w:pPr>
    </w:p>
    <w:p w14:paraId="797FFC9E">
      <w:pPr>
        <w:spacing w:line="360" w:lineRule="auto"/>
        <w:ind w:firstLine="1084" w:firstLineChars="300"/>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14:paraId="6C652195">
      <w:pPr>
        <w:spacing w:line="360" w:lineRule="auto"/>
        <w:ind w:firstLine="1247" w:firstLineChars="345"/>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14:paraId="60E3C5C1">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14:paraId="6F6AE39C">
      <w:pPr>
        <w:spacing w:line="360" w:lineRule="auto"/>
        <w:rPr>
          <w:rFonts w:hint="eastAsia" w:ascii="宋体" w:hAnsi="宋体"/>
          <w:b/>
          <w:color w:val="000000" w:themeColor="text1"/>
          <w:sz w:val="36"/>
          <w:highlight w:val="none"/>
          <w14:textFill>
            <w14:solidFill>
              <w14:schemeClr w14:val="tx1"/>
            </w14:solidFill>
          </w14:textFill>
        </w:rPr>
      </w:pPr>
    </w:p>
    <w:p w14:paraId="1AA93A98">
      <w:pPr>
        <w:spacing w:line="360" w:lineRule="auto"/>
        <w:ind w:firstLine="708" w:firstLineChars="196"/>
        <w:rPr>
          <w:rFonts w:hint="eastAsia"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r>
        <w:rPr>
          <w:rFonts w:hint="eastAsia" w:ascii="宋体" w:hAnsi="宋体"/>
          <w:b/>
          <w:color w:val="000000" w:themeColor="text1"/>
          <w:sz w:val="36"/>
          <w:highlight w:val="none"/>
          <w:lang w:eastAsia="zh-CN"/>
          <w14:textFill>
            <w14:solidFill>
              <w14:schemeClr w14:val="tx1"/>
            </w14:solidFill>
          </w14:textFill>
        </w:rPr>
        <w:t>供应商</w:t>
      </w:r>
      <w:r>
        <w:rPr>
          <w:rFonts w:hint="eastAsia" w:ascii="宋体" w:hAnsi="宋体"/>
          <w:b/>
          <w:color w:val="000000" w:themeColor="text1"/>
          <w:sz w:val="36"/>
          <w:highlight w:val="none"/>
          <w14:textFill>
            <w14:solidFill>
              <w14:schemeClr w14:val="tx1"/>
            </w14:solidFill>
          </w14:textFill>
        </w:rPr>
        <w:t>名称 ：</w:t>
      </w:r>
      <w:r>
        <w:rPr>
          <w:rFonts w:hint="eastAsia" w:ascii="宋体" w:hAnsi="宋体"/>
          <w:b/>
          <w:color w:val="000000" w:themeColor="text1"/>
          <w:sz w:val="36"/>
          <w:highlight w:val="none"/>
          <w:u w:val="single"/>
          <w14:textFill>
            <w14:solidFill>
              <w14:schemeClr w14:val="tx1"/>
            </w14:solidFill>
          </w14:textFill>
        </w:rPr>
        <w:t xml:space="preserve">               </w:t>
      </w:r>
    </w:p>
    <w:p w14:paraId="15D9EE04">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14:paraId="1835E9E4">
      <w:pPr>
        <w:spacing w:line="360" w:lineRule="auto"/>
        <w:rPr>
          <w:rFonts w:hint="eastAsia" w:ascii="宋体" w:hAnsi="宋体"/>
          <w:b/>
          <w:color w:val="000000" w:themeColor="text1"/>
          <w:sz w:val="36"/>
          <w:highlight w:val="none"/>
          <w14:textFill>
            <w14:solidFill>
              <w14:schemeClr w14:val="tx1"/>
            </w14:solidFill>
          </w14:textFill>
        </w:rPr>
      </w:pPr>
    </w:p>
    <w:p w14:paraId="37878C77">
      <w:pPr>
        <w:spacing w:line="360" w:lineRule="auto"/>
        <w:rPr>
          <w:rFonts w:hint="eastAsia" w:ascii="宋体" w:hAnsi="宋体"/>
          <w:b/>
          <w:color w:val="000000" w:themeColor="text1"/>
          <w:sz w:val="36"/>
          <w:highlight w:val="none"/>
          <w14:textFill>
            <w14:solidFill>
              <w14:schemeClr w14:val="tx1"/>
            </w14:solidFill>
          </w14:textFill>
        </w:rPr>
      </w:pPr>
    </w:p>
    <w:p w14:paraId="4465D74C">
      <w:pPr>
        <w:spacing w:line="360" w:lineRule="auto"/>
        <w:rPr>
          <w:rFonts w:hint="eastAsia" w:ascii="宋体" w:hAnsi="宋体"/>
          <w:b/>
          <w:color w:val="000000" w:themeColor="text1"/>
          <w:sz w:val="36"/>
          <w:highlight w:val="none"/>
          <w14:textFill>
            <w14:solidFill>
              <w14:schemeClr w14:val="tx1"/>
            </w14:solidFill>
          </w14:textFill>
        </w:rPr>
      </w:pPr>
    </w:p>
    <w:p w14:paraId="5FDE89C0">
      <w:pPr>
        <w:spacing w:line="360" w:lineRule="auto"/>
        <w:rPr>
          <w:rFonts w:hint="eastAsia" w:ascii="宋体" w:hAnsi="宋体"/>
          <w:b/>
          <w:color w:val="000000" w:themeColor="text1"/>
          <w:sz w:val="36"/>
          <w:highlight w:val="none"/>
          <w14:textFill>
            <w14:solidFill>
              <w14:schemeClr w14:val="tx1"/>
            </w14:solidFill>
          </w14:textFill>
        </w:rPr>
      </w:pPr>
    </w:p>
    <w:p w14:paraId="3CFF1E0C">
      <w:pPr>
        <w:spacing w:line="360" w:lineRule="auto"/>
        <w:rPr>
          <w:rFonts w:hint="eastAsia" w:ascii="宋体" w:hAnsi="宋体"/>
          <w:b/>
          <w:color w:val="000000" w:themeColor="text1"/>
          <w:sz w:val="36"/>
          <w:highlight w:val="none"/>
          <w14:textFill>
            <w14:solidFill>
              <w14:schemeClr w14:val="tx1"/>
            </w14:solidFill>
          </w14:textFill>
        </w:rPr>
      </w:pPr>
    </w:p>
    <w:p w14:paraId="5A6FA4C8">
      <w:pPr>
        <w:spacing w:line="360" w:lineRule="auto"/>
        <w:rPr>
          <w:rFonts w:hint="eastAsia" w:ascii="宋体" w:hAnsi="宋体"/>
          <w:b/>
          <w:color w:val="000000" w:themeColor="text1"/>
          <w:sz w:val="36"/>
          <w:highlight w:val="none"/>
          <w14:textFill>
            <w14:solidFill>
              <w14:schemeClr w14:val="tx1"/>
            </w14:solidFill>
          </w14:textFill>
        </w:rPr>
      </w:pPr>
    </w:p>
    <w:p w14:paraId="78800FAC">
      <w:pPr>
        <w:pStyle w:val="5"/>
        <w:snapToGrid w:val="0"/>
        <w:spacing w:line="360" w:lineRule="auto"/>
        <w:ind w:firstLine="0"/>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14:paraId="629F84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90279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14:paraId="2A3076D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14:paraId="49748D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磋商分项报价表</w:t>
      </w:r>
    </w:p>
    <w:p w14:paraId="7151FC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服务说明一览表</w:t>
      </w:r>
    </w:p>
    <w:p w14:paraId="430D7D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范围清单 </w:t>
      </w:r>
    </w:p>
    <w:p w14:paraId="3EF0E2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22F4CBE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的资格证明文件</w:t>
      </w:r>
    </w:p>
    <w:p w14:paraId="697DE66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14:paraId="2355A9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的资格声明</w:t>
      </w:r>
    </w:p>
    <w:p w14:paraId="58B144D3">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14:paraId="1DABB806">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单位营业执照、税务登记证（或统一社会信用代码）</w:t>
      </w:r>
    </w:p>
    <w:p w14:paraId="0B39C236">
      <w:pPr>
        <w:spacing w:line="360" w:lineRule="auto"/>
        <w:ind w:firstLine="120" w:firstLineChars="5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cs="宋体"/>
          <w:color w:val="000000" w:themeColor="text1"/>
          <w:sz w:val="24"/>
          <w:szCs w:val="24"/>
          <w:highlight w:val="none"/>
          <w:lang w:eastAsia="zh-CN"/>
          <w14:textFill>
            <w14:solidFill>
              <w14:schemeClr w14:val="tx1"/>
            </w14:solidFill>
          </w14:textFill>
        </w:rPr>
        <w:t>书面承诺（格式自拟）</w:t>
      </w:r>
    </w:p>
    <w:p w14:paraId="2C48DF6F">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74BED4F2">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0976D65A">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F52FD8E">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4684EE38">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12AFA53">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7702D2D7">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74A13796">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2940A9A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F33D1EF">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75C44D10">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294ACA84">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73A938C6">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5CA44DF3">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5CC6F70F">
      <w:pPr>
        <w:spacing w:line="360" w:lineRule="auto"/>
        <w:ind w:firstLine="2911" w:firstLineChars="90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磋商响应声明函</w:t>
      </w:r>
    </w:p>
    <w:p w14:paraId="6C05098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1F9A9D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r>
        <w:rPr>
          <w:rFonts w:hint="eastAsia" w:ascii="宋体" w:hAnsi="宋体" w:eastAsia="宋体" w:cs="宋体"/>
          <w:bCs/>
          <w:color w:val="000000" w:themeColor="text1"/>
          <w:sz w:val="24"/>
          <w:szCs w:val="24"/>
          <w:highlight w:val="none"/>
          <w14:textFill>
            <w14:solidFill>
              <w14:schemeClr w14:val="tx1"/>
            </w14:solidFill>
          </w14:textFill>
        </w:rPr>
        <w:t>：</w:t>
      </w:r>
    </w:p>
    <w:p w14:paraId="72A4F5E7">
      <w:pPr>
        <w:pStyle w:val="7"/>
        <w:spacing w:after="0"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项目政府采购的磋商邀请，本签字代表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bCs/>
          <w:color w:val="000000" w:themeColor="text1"/>
          <w:sz w:val="24"/>
          <w:szCs w:val="24"/>
          <w:highlight w:val="none"/>
          <w14:textFill>
            <w14:solidFill>
              <w14:schemeClr w14:val="tx1"/>
            </w14:solidFill>
          </w14:textFill>
        </w:rPr>
        <w:t>份。</w:t>
      </w:r>
    </w:p>
    <w:p w14:paraId="6E9D179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14:paraId="2E326E2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2.磋商分项报价表</w:t>
      </w:r>
    </w:p>
    <w:p w14:paraId="5AC308F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3.服务说明一览表</w:t>
      </w:r>
    </w:p>
    <w:p w14:paraId="320ABB0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4.范围清单</w:t>
      </w:r>
    </w:p>
    <w:p w14:paraId="2A3EFEC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5.技术规格和商务偏离表</w:t>
      </w:r>
    </w:p>
    <w:p w14:paraId="16324B1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资格证明文件</w:t>
      </w:r>
    </w:p>
    <w:p w14:paraId="2A1BF37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cs="宋体"/>
          <w:color w:val="000000" w:themeColor="text1"/>
          <w:sz w:val="24"/>
          <w:szCs w:val="24"/>
          <w:highlight w:val="none"/>
          <w:lang w:eastAsia="zh-CN"/>
          <w14:textFill>
            <w14:solidFill>
              <w14:schemeClr w14:val="tx1"/>
            </w14:solidFill>
          </w14:textFill>
        </w:rPr>
        <w:t>书面承诺（格式自拟）</w:t>
      </w:r>
    </w:p>
    <w:p w14:paraId="692A69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元的磋商保证金。</w:t>
      </w:r>
    </w:p>
    <w:p w14:paraId="093588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620786B0">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14:paraId="2B367FAB">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已详细审查全部采购文件，包括修改文件（如有的话）以及全部参考资料和有关附件，将自行承担因对全部采购文件理解不正确或误解而产生的相应后果。</w:t>
      </w:r>
    </w:p>
    <w:p w14:paraId="67C892D9">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14:paraId="0BCDB4A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将按采购文件的规定履行合同责任和义务。</w:t>
      </w:r>
    </w:p>
    <w:p w14:paraId="3FB70D0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报价有效期：在采购文件</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须知前附表所规定的期限内保持有效。</w:t>
      </w:r>
    </w:p>
    <w:p w14:paraId="18E081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须知第12条所述情况，则同意采购代理机构不予退还磋商保证金。</w:t>
      </w:r>
    </w:p>
    <w:p w14:paraId="529E682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同意按照采购单位要求提供与其磋商响应有关的一切数据或资料，完全理解贵方不一定要接受最低的报价或收到的任何磋商响应。</w:t>
      </w:r>
    </w:p>
    <w:p w14:paraId="12A4B1CB">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（8）与本磋商响应有关的一切正式往来通讯请寄：</w:t>
      </w:r>
    </w:p>
    <w:p w14:paraId="7147D08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7DDB18C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63E7865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3E0B39E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14:paraId="2EBF985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66FDC9ED">
      <w:pPr>
        <w:spacing w:line="360" w:lineRule="auto"/>
        <w:jc w:val="righ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14:paraId="3A3948F9">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3D88EEA6">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5761A0A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09E0D1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DA17A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C4A100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778B2B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8C70C74">
      <w:pPr>
        <w:pStyle w:val="68"/>
        <w:spacing w:line="360" w:lineRule="auto"/>
        <w:jc w:val="left"/>
        <w:rPr>
          <w:rFonts w:hint="eastAsia" w:hAnsi="宋体" w:eastAsia="宋体" w:cs="宋体"/>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797" w:bottom="1440" w:left="1797" w:header="851" w:footer="992" w:gutter="0"/>
          <w:cols w:space="720" w:num="1"/>
          <w:docGrid w:linePitch="312" w:charSpace="0"/>
        </w:sectPr>
      </w:pPr>
    </w:p>
    <w:p w14:paraId="390CF6F6">
      <w:pPr>
        <w:pStyle w:val="68"/>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报价一览表</w:t>
      </w:r>
    </w:p>
    <w:p w14:paraId="13B9E21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（全称并加盖公章）：               采购项目编号∶                       货币单位：</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276"/>
        <w:gridCol w:w="1701"/>
      </w:tblGrid>
      <w:tr w14:paraId="08F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14E4D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0BDD591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904F47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A8676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994" w:type="dxa"/>
            <w:tcBorders>
              <w:top w:val="single" w:color="auto" w:sz="4" w:space="0"/>
              <w:left w:val="single" w:color="auto" w:sz="4" w:space="0"/>
              <w:bottom w:val="single" w:color="auto" w:sz="4" w:space="0"/>
              <w:right w:val="single" w:color="auto" w:sz="4" w:space="0"/>
            </w:tcBorders>
            <w:noWrap w:val="0"/>
            <w:vAlign w:val="center"/>
          </w:tcPr>
          <w:p w14:paraId="0A2B21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51535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62B9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0BB7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B31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7F8F5A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1198B7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91AC5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F6C7EE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4E0B91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E2820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C8C4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1E9B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7B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374B0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58392F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CE8CC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B0C8D4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0774BD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01B3F9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A143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F49C4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525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0C7356B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24A549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2D0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155DB93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2D0C3B4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1F2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72197E1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4444B4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7AB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1AAE46E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238E824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616737F4">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正本和磋商保证金凭证复印件一同装在一单独的信封内密封。</w:t>
      </w:r>
    </w:p>
    <w:p w14:paraId="4690A54D">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2.详细报价清单应另纸详列，且标明所报各种服务的数量和金额。       </w:t>
      </w:r>
    </w:p>
    <w:p w14:paraId="12B702FA">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应计算出该合同包的合计价。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AAFF374">
      <w:pPr>
        <w:spacing w:line="360" w:lineRule="auto"/>
        <w:rPr>
          <w:rFonts w:hint="eastAsia" w:ascii="宋体" w:hAnsi="宋体" w:eastAsia="宋体" w:cs="宋体"/>
          <w:b/>
          <w:color w:val="000000" w:themeColor="text1"/>
          <w:sz w:val="24"/>
          <w:szCs w:val="24"/>
          <w:highlight w:val="none"/>
          <w14:textFill>
            <w14:solidFill>
              <w14:schemeClr w14:val="tx1"/>
            </w14:solidFill>
          </w14:textFill>
        </w:rPr>
        <w:sectPr>
          <w:footerReference r:id="rId8" w:type="default"/>
          <w:pgSz w:w="16838" w:h="11906" w:orient="landscape"/>
          <w:pgMar w:top="1797" w:right="1440" w:bottom="1797" w:left="1440" w:header="851" w:footer="992" w:gutter="0"/>
          <w:cols w:space="720" w:num="1"/>
          <w:docGrid w:linePitch="312" w:charSpace="0"/>
        </w:sectPr>
      </w:pPr>
    </w:p>
    <w:p w14:paraId="1CE6A0A8">
      <w:pPr>
        <w:spacing w:line="360" w:lineRule="auto"/>
        <w:ind w:firstLine="2168" w:firstLineChars="900"/>
        <w:rPr>
          <w:rFonts w:hint="eastAsia" w:ascii="宋体" w:hAnsi="宋体" w:eastAsia="宋体" w:cs="宋体"/>
          <w:b/>
          <w:color w:val="000000" w:themeColor="text1"/>
          <w:sz w:val="24"/>
          <w:szCs w:val="24"/>
          <w:highlight w:val="none"/>
          <w14:textFill>
            <w14:solidFill>
              <w14:schemeClr w14:val="tx1"/>
            </w14:solidFill>
          </w14:textFill>
        </w:rPr>
      </w:pPr>
    </w:p>
    <w:p w14:paraId="6B01895B">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磋商分项报价表（格式）</w:t>
      </w:r>
    </w:p>
    <w:p w14:paraId="35B17EA2">
      <w:pPr>
        <w:pStyle w:val="12"/>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014DB8CC">
      <w:pPr>
        <w:pStyle w:val="12"/>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供应商</w:t>
      </w:r>
      <w:r>
        <w:rPr>
          <w:rFonts w:hint="eastAsia" w:hAnsi="宋体" w:eastAsia="宋体" w:cs="宋体"/>
          <w:bCs/>
          <w:color w:val="000000" w:themeColor="text1"/>
          <w:sz w:val="24"/>
          <w:szCs w:val="24"/>
          <w:highlight w:val="none"/>
          <w14:textFill>
            <w14:solidFill>
              <w14:schemeClr w14:val="tx1"/>
            </w14:solidFill>
          </w14:textFill>
        </w:rPr>
        <w:t>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3E08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66C55D9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902" w:type="dxa"/>
            <w:noWrap w:val="0"/>
            <w:vAlign w:val="top"/>
          </w:tcPr>
          <w:p w14:paraId="134F458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服务合同包</w:t>
            </w:r>
          </w:p>
        </w:tc>
        <w:tc>
          <w:tcPr>
            <w:tcW w:w="2076" w:type="dxa"/>
            <w:noWrap w:val="0"/>
            <w:vAlign w:val="top"/>
          </w:tcPr>
          <w:p w14:paraId="1E711DF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B2BD40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0516BD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7E1B5C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6444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7FD9A1D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902" w:type="dxa"/>
            <w:noWrap w:val="0"/>
            <w:vAlign w:val="top"/>
          </w:tcPr>
          <w:p w14:paraId="1D401FE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服务名称</w:t>
            </w:r>
          </w:p>
          <w:p w14:paraId="73D8AD7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2076" w:type="dxa"/>
            <w:noWrap w:val="0"/>
            <w:vAlign w:val="top"/>
          </w:tcPr>
          <w:p w14:paraId="723AFFB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3BF3F11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6192DF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491D161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870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57F401F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902" w:type="dxa"/>
            <w:noWrap w:val="0"/>
            <w:vAlign w:val="top"/>
          </w:tcPr>
          <w:p w14:paraId="26FDBC2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服务商(全称)</w:t>
            </w:r>
          </w:p>
        </w:tc>
        <w:tc>
          <w:tcPr>
            <w:tcW w:w="2076" w:type="dxa"/>
            <w:noWrap w:val="0"/>
            <w:vAlign w:val="top"/>
          </w:tcPr>
          <w:p w14:paraId="5CA18AA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893D4F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5A4DBDE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063100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38DD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728088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902" w:type="dxa"/>
            <w:noWrap w:val="0"/>
            <w:vAlign w:val="top"/>
          </w:tcPr>
          <w:p w14:paraId="771FD7A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w:t>
            </w:r>
          </w:p>
        </w:tc>
        <w:tc>
          <w:tcPr>
            <w:tcW w:w="2076" w:type="dxa"/>
            <w:noWrap w:val="0"/>
            <w:vAlign w:val="top"/>
          </w:tcPr>
          <w:p w14:paraId="39A1487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5AA7E35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0F212F7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78D137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9B8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5D91403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902" w:type="dxa"/>
            <w:noWrap w:val="0"/>
            <w:vAlign w:val="top"/>
          </w:tcPr>
          <w:p w14:paraId="0BECAB5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技术服务费</w:t>
            </w:r>
          </w:p>
        </w:tc>
        <w:tc>
          <w:tcPr>
            <w:tcW w:w="2076" w:type="dxa"/>
            <w:noWrap w:val="0"/>
            <w:vAlign w:val="top"/>
          </w:tcPr>
          <w:p w14:paraId="46C356B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E46F96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1DFCF3A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5951B3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7426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277539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902" w:type="dxa"/>
            <w:noWrap w:val="0"/>
            <w:vAlign w:val="top"/>
          </w:tcPr>
          <w:p w14:paraId="5DE7F33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检验培训费</w:t>
            </w:r>
          </w:p>
        </w:tc>
        <w:tc>
          <w:tcPr>
            <w:tcW w:w="2076" w:type="dxa"/>
            <w:noWrap w:val="0"/>
            <w:vAlign w:val="top"/>
          </w:tcPr>
          <w:p w14:paraId="0E065C8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552A40C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2965E54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F20101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B1E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FF1235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902" w:type="dxa"/>
            <w:noWrap w:val="0"/>
            <w:vAlign w:val="top"/>
          </w:tcPr>
          <w:p w14:paraId="3D144B9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保险</w:t>
            </w:r>
          </w:p>
        </w:tc>
        <w:tc>
          <w:tcPr>
            <w:tcW w:w="2076" w:type="dxa"/>
            <w:noWrap w:val="0"/>
            <w:vAlign w:val="top"/>
          </w:tcPr>
          <w:p w14:paraId="411BE9A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60E5797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B28635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0D89C4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674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D4FD82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902" w:type="dxa"/>
            <w:noWrap w:val="0"/>
            <w:vAlign w:val="top"/>
          </w:tcPr>
          <w:p w14:paraId="3325C62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其它</w:t>
            </w:r>
          </w:p>
        </w:tc>
        <w:tc>
          <w:tcPr>
            <w:tcW w:w="2076" w:type="dxa"/>
            <w:noWrap w:val="0"/>
            <w:vAlign w:val="top"/>
          </w:tcPr>
          <w:p w14:paraId="5BA1D8B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41D2E74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10994AC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FCB50D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706F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48DC066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902" w:type="dxa"/>
            <w:noWrap w:val="0"/>
            <w:vAlign w:val="center"/>
          </w:tcPr>
          <w:p w14:paraId="708FC54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报价总价计算方式</w:t>
            </w:r>
          </w:p>
        </w:tc>
        <w:tc>
          <w:tcPr>
            <w:tcW w:w="2076" w:type="dxa"/>
            <w:noWrap w:val="0"/>
            <w:vAlign w:val="center"/>
          </w:tcPr>
          <w:p w14:paraId="43D056D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14:paraId="1D3C605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09430E2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3E336D5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0CEF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33B99F5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1902" w:type="dxa"/>
            <w:noWrap w:val="0"/>
            <w:vAlign w:val="center"/>
          </w:tcPr>
          <w:p w14:paraId="43CB889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w:t>
            </w:r>
          </w:p>
        </w:tc>
        <w:tc>
          <w:tcPr>
            <w:tcW w:w="2076" w:type="dxa"/>
            <w:noWrap w:val="0"/>
            <w:vAlign w:val="center"/>
          </w:tcPr>
          <w:p w14:paraId="1D5D9AE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14:paraId="49B3ADF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79A95B0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4DBCCFE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5D3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1263511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2" w:type="dxa"/>
            <w:noWrap w:val="0"/>
            <w:vAlign w:val="center"/>
          </w:tcPr>
          <w:p w14:paraId="360ADE4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服务期</w:t>
            </w:r>
          </w:p>
        </w:tc>
        <w:tc>
          <w:tcPr>
            <w:tcW w:w="2076" w:type="dxa"/>
            <w:noWrap w:val="0"/>
            <w:vAlign w:val="center"/>
          </w:tcPr>
          <w:p w14:paraId="62E4B64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14:paraId="2315C05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569749E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3F11C29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bl>
    <w:p w14:paraId="226291D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cs="宋体"/>
          <w:bCs/>
          <w:color w:val="000000" w:themeColor="text1"/>
          <w:sz w:val="24"/>
          <w:szCs w:val="24"/>
          <w:highlight w:val="none"/>
          <w:lang w:val="en-US" w:eastAsia="zh-CN"/>
          <w14:textFill>
            <w14:solidFill>
              <w14:schemeClr w14:val="tx1"/>
            </w14:solidFill>
          </w14:textFill>
        </w:rPr>
        <w:t>供应商可按上述格式进行分项报价，也可以自行拟定格式进行分项报价。</w:t>
      </w:r>
    </w:p>
    <w:p w14:paraId="42A05CA1">
      <w:pPr>
        <w:pStyle w:val="68"/>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供应商</w:t>
      </w:r>
      <w:r>
        <w:rPr>
          <w:rFonts w:hint="eastAsia" w:hAnsi="宋体" w:eastAsia="宋体" w:cs="宋体"/>
          <w:bCs/>
          <w:color w:val="000000" w:themeColor="text1"/>
          <w:sz w:val="24"/>
          <w:szCs w:val="24"/>
          <w:highlight w:val="none"/>
          <w14:textFill>
            <w14:solidFill>
              <w14:schemeClr w14:val="tx1"/>
            </w14:solidFill>
          </w14:textFill>
        </w:rPr>
        <w:t>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14:paraId="0D0A7FE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9" w:type="default"/>
          <w:pgSz w:w="11906" w:h="16838"/>
          <w:pgMar w:top="1440" w:right="1797" w:bottom="1440" w:left="1797" w:header="851" w:footer="992" w:gutter="0"/>
          <w:cols w:space="720" w:num="1"/>
          <w:docGrid w:linePitch="312" w:charSpace="0"/>
        </w:sectPr>
      </w:pPr>
    </w:p>
    <w:p w14:paraId="5A08478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服务说明一览表</w:t>
      </w:r>
    </w:p>
    <w:p w14:paraId="7D871A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（按服务合同包下品目号类别分别填写）</w:t>
      </w:r>
    </w:p>
    <w:p w14:paraId="7427AC1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550869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                                    采购项目编号∶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5191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3D31864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33F986F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DE8AD2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17CC856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53863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D4780B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BF4A9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6A0206C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4F8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32598E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详细服务项说明</w:t>
            </w:r>
          </w:p>
        </w:tc>
      </w:tr>
    </w:tbl>
    <w:p w14:paraId="28661E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73D3040">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14:paraId="154AEC0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范围清单</w:t>
      </w:r>
    </w:p>
    <w:p w14:paraId="024F0A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2CB25AFB">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本清单应列明服务组成的主要项和关键项的名称、数量、服务商住址及单价；</w:t>
      </w:r>
    </w:p>
    <w:p w14:paraId="46EF86CC">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6A8C17BE">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14:paraId="2AF6F62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32F6DC0">
      <w:pPr>
        <w:spacing w:line="360" w:lineRule="auto"/>
        <w:ind w:right="480" w:firstLine="120" w:firstLineChars="50"/>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0C71C7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C56B50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96EA32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footerReference r:id="rId16" w:type="default"/>
          <w:pgSz w:w="11906" w:h="16838"/>
          <w:pgMar w:top="1440" w:right="1797" w:bottom="1440" w:left="1797" w:header="851" w:footer="992" w:gutter="0"/>
          <w:cols w:space="720" w:num="1"/>
          <w:docGrid w:linePitch="312" w:charSpace="0"/>
        </w:sectPr>
      </w:pPr>
    </w:p>
    <w:p w14:paraId="35037EA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14:paraId="04F8AA53">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名称（</w:t>
      </w:r>
      <w:r>
        <w:rPr>
          <w:rFonts w:hint="eastAsia" w:ascii="宋体" w:hAnsi="宋体" w:cs="宋体"/>
          <w:bCs/>
          <w:color w:val="000000" w:themeColor="text1"/>
          <w:sz w:val="24"/>
          <w:szCs w:val="24"/>
          <w:highlight w:val="none"/>
          <w:lang w:eastAsia="zh-CN"/>
          <w14:textFill>
            <w14:solidFill>
              <w14:schemeClr w14:val="tx1"/>
            </w14:solidFill>
          </w14:textFill>
        </w:rPr>
        <w:t>全称</w:t>
      </w:r>
      <w:r>
        <w:rPr>
          <w:rFonts w:hint="eastAsia" w:ascii="宋体" w:hAnsi="宋体" w:eastAsia="宋体" w:cs="宋体"/>
          <w:bCs/>
          <w:color w:val="000000" w:themeColor="text1"/>
          <w:sz w:val="24"/>
          <w:szCs w:val="24"/>
          <w:highlight w:val="none"/>
          <w14:textFill>
            <w14:solidFill>
              <w14:schemeClr w14:val="tx1"/>
            </w14:solidFill>
          </w14:textFill>
        </w:rPr>
        <w:t>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2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0806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4177EA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1F531E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w:t>
            </w:r>
          </w:p>
        </w:tc>
      </w:tr>
      <w:tr w14:paraId="2B2A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DFB539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13F3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C79A8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9E378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0E85BC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0D3421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0E0C63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38B9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5A20EC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BD370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4CE6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ED562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01EEDE2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69A668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7B16B7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A2A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ADAB2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2457E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85AA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D64F1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06748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ABBF36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52FBBD5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4EE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1A08F2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35633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9C33C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96F17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D3DDD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B769D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4641E16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4749166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根据采购要求逐条说明磋商响应情况。</w:t>
      </w:r>
    </w:p>
    <w:p w14:paraId="33982A5E">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应对采购文件中的“</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”号条款进行逐条响应，否则评审专家对其报价做出不利评审，</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必须自行承担责任</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存在弄虚作假行为的，将依法承担</w:t>
      </w:r>
      <w:r>
        <w:rPr>
          <w:rFonts w:hint="eastAsia" w:ascii="宋体" w:hAnsi="宋体" w:cs="宋体"/>
          <w:bCs/>
          <w:color w:val="000000" w:themeColor="text1"/>
          <w:sz w:val="24"/>
          <w:szCs w:val="24"/>
          <w:highlight w:val="none"/>
          <w:lang w:eastAsia="zh-CN"/>
          <w14:textFill>
            <w14:solidFill>
              <w14:schemeClr w14:val="tx1"/>
            </w14:solidFill>
          </w14:textFill>
        </w:rPr>
        <w:t>相应的法律责任</w:t>
      </w:r>
      <w:r>
        <w:rPr>
          <w:rFonts w:hint="eastAsia" w:ascii="宋体" w:hAnsi="宋体" w:eastAsia="宋体" w:cs="宋体"/>
          <w:bCs/>
          <w:color w:val="000000" w:themeColor="text1"/>
          <w:sz w:val="24"/>
          <w:szCs w:val="24"/>
          <w:highlight w:val="none"/>
          <w14:textFill>
            <w14:solidFill>
              <w14:schemeClr w14:val="tx1"/>
            </w14:solidFill>
          </w14:textFill>
        </w:rPr>
        <w:t>。</w:t>
      </w:r>
    </w:p>
    <w:p w14:paraId="762B0EE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2BDD66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D0F2DE9">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583E0616">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服务人员配备表</w:t>
      </w:r>
    </w:p>
    <w:p w14:paraId="478839BB">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                                        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051"/>
        <w:gridCol w:w="1563"/>
        <w:gridCol w:w="851"/>
        <w:gridCol w:w="851"/>
        <w:gridCol w:w="851"/>
        <w:gridCol w:w="948"/>
        <w:gridCol w:w="948"/>
        <w:gridCol w:w="995"/>
        <w:gridCol w:w="2772"/>
      </w:tblGrid>
      <w:tr w14:paraId="26F89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restart"/>
            <w:tcBorders>
              <w:top w:val="single" w:color="auto" w:sz="12" w:space="0"/>
              <w:left w:val="single" w:color="auto" w:sz="12" w:space="0"/>
              <w:bottom w:val="single" w:color="auto" w:sz="4" w:space="0"/>
              <w:right w:val="single" w:color="auto" w:sz="4" w:space="0"/>
            </w:tcBorders>
            <w:noWrap w:val="0"/>
            <w:vAlign w:val="center"/>
          </w:tcPr>
          <w:p w14:paraId="6F28E22F">
            <w:pPr>
              <w:spacing w:line="360" w:lineRule="auto"/>
              <w:ind w:left="69"/>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拟任职位</w:t>
            </w:r>
          </w:p>
        </w:tc>
        <w:tc>
          <w:tcPr>
            <w:tcW w:w="1051" w:type="dxa"/>
            <w:vMerge w:val="restart"/>
            <w:tcBorders>
              <w:top w:val="single" w:color="auto" w:sz="12" w:space="0"/>
              <w:left w:val="single" w:color="auto" w:sz="4" w:space="0"/>
              <w:bottom w:val="single" w:color="auto" w:sz="4" w:space="0"/>
              <w:right w:val="single" w:color="auto" w:sz="4" w:space="0"/>
            </w:tcBorders>
            <w:noWrap w:val="0"/>
            <w:vAlign w:val="center"/>
          </w:tcPr>
          <w:p w14:paraId="249A3ACD">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姓名</w:t>
            </w:r>
          </w:p>
        </w:tc>
        <w:tc>
          <w:tcPr>
            <w:tcW w:w="1563" w:type="dxa"/>
            <w:vMerge w:val="restart"/>
            <w:tcBorders>
              <w:top w:val="single" w:color="auto" w:sz="12" w:space="0"/>
              <w:left w:val="single" w:color="auto" w:sz="4" w:space="0"/>
              <w:bottom w:val="single" w:color="auto" w:sz="4" w:space="0"/>
              <w:right w:val="single" w:color="auto" w:sz="4" w:space="0"/>
            </w:tcBorders>
            <w:noWrap w:val="0"/>
            <w:vAlign w:val="center"/>
          </w:tcPr>
          <w:p w14:paraId="1E10F1A9">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身份证号码</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7456851C">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学历</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35FF206F">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61A3C247">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职称</w:t>
            </w:r>
          </w:p>
        </w:tc>
        <w:tc>
          <w:tcPr>
            <w:tcW w:w="2891" w:type="dxa"/>
            <w:gridSpan w:val="3"/>
            <w:tcBorders>
              <w:top w:val="single" w:color="auto" w:sz="12" w:space="0"/>
              <w:left w:val="single" w:color="auto" w:sz="4" w:space="0"/>
              <w:bottom w:val="single" w:color="auto" w:sz="4" w:space="0"/>
              <w:right w:val="single" w:color="auto" w:sz="4" w:space="0"/>
            </w:tcBorders>
            <w:noWrap w:val="0"/>
            <w:vAlign w:val="center"/>
          </w:tcPr>
          <w:p w14:paraId="0B462D25">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岗位资格证明</w:t>
            </w:r>
          </w:p>
        </w:tc>
        <w:tc>
          <w:tcPr>
            <w:tcW w:w="2772" w:type="dxa"/>
            <w:vMerge w:val="restart"/>
            <w:tcBorders>
              <w:top w:val="single" w:color="auto" w:sz="12" w:space="0"/>
              <w:left w:val="single" w:color="auto" w:sz="4" w:space="0"/>
              <w:bottom w:val="single" w:color="auto" w:sz="4" w:space="0"/>
              <w:right w:val="single" w:color="auto" w:sz="12" w:space="0"/>
            </w:tcBorders>
            <w:noWrap w:val="0"/>
            <w:vAlign w:val="center"/>
          </w:tcPr>
          <w:p w14:paraId="5FEF3551">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目前受</w:t>
            </w:r>
          </w:p>
          <w:p w14:paraId="2044C52B">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雇单位</w:t>
            </w:r>
          </w:p>
        </w:tc>
      </w:tr>
      <w:tr w14:paraId="75B01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continue"/>
            <w:tcBorders>
              <w:top w:val="single" w:color="auto" w:sz="12" w:space="0"/>
              <w:left w:val="single" w:color="auto" w:sz="12" w:space="0"/>
              <w:bottom w:val="single" w:color="auto" w:sz="4" w:space="0"/>
              <w:right w:val="single" w:color="auto" w:sz="4" w:space="0"/>
            </w:tcBorders>
            <w:noWrap w:val="0"/>
            <w:vAlign w:val="center"/>
          </w:tcPr>
          <w:p w14:paraId="17A2A694">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051" w:type="dxa"/>
            <w:vMerge w:val="continue"/>
            <w:tcBorders>
              <w:top w:val="single" w:color="auto" w:sz="12" w:space="0"/>
              <w:left w:val="single" w:color="auto" w:sz="4" w:space="0"/>
              <w:bottom w:val="single" w:color="auto" w:sz="4" w:space="0"/>
              <w:right w:val="single" w:color="auto" w:sz="4" w:space="0"/>
            </w:tcBorders>
            <w:noWrap w:val="0"/>
            <w:vAlign w:val="center"/>
          </w:tcPr>
          <w:p w14:paraId="4AF22D2C">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563" w:type="dxa"/>
            <w:vMerge w:val="continue"/>
            <w:tcBorders>
              <w:top w:val="single" w:color="auto" w:sz="12" w:space="0"/>
              <w:left w:val="single" w:color="auto" w:sz="4" w:space="0"/>
              <w:bottom w:val="single" w:color="auto" w:sz="4" w:space="0"/>
              <w:right w:val="single" w:color="auto" w:sz="4" w:space="0"/>
            </w:tcBorders>
            <w:noWrap w:val="0"/>
            <w:vAlign w:val="center"/>
          </w:tcPr>
          <w:p w14:paraId="242A2332">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3005AE60">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7EF9336F">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7AD9C2E8">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11385FDB">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w:t>
            </w:r>
          </w:p>
          <w:p w14:paraId="2D8A44B5">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F4E1921">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证书</w:t>
            </w:r>
          </w:p>
          <w:p w14:paraId="09B1B91F">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16F3A90">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证号</w:t>
            </w:r>
          </w:p>
        </w:tc>
        <w:tc>
          <w:tcPr>
            <w:tcW w:w="2772" w:type="dxa"/>
            <w:vMerge w:val="continue"/>
            <w:tcBorders>
              <w:top w:val="single" w:color="auto" w:sz="12" w:space="0"/>
              <w:left w:val="single" w:color="auto" w:sz="4" w:space="0"/>
              <w:bottom w:val="single" w:color="auto" w:sz="4" w:space="0"/>
              <w:right w:val="single" w:color="auto" w:sz="12" w:space="0"/>
            </w:tcBorders>
            <w:noWrap w:val="0"/>
            <w:vAlign w:val="center"/>
          </w:tcPr>
          <w:p w14:paraId="4D95F350">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r>
      <w:tr w14:paraId="44C8D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14:paraId="0250782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14:paraId="00B6F26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03B0B22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1BC6AF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0AEEFE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48588C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0C72DE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64C1A01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4637023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14:paraId="70E751F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43E5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14:paraId="0DFE165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14:paraId="0F71FA5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70FC06D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8C46CE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2A2B80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25C0C4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2919CE2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A7D13A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52430C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14:paraId="59E8083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AA5F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12" w:space="0"/>
              <w:right w:val="single" w:color="auto" w:sz="4" w:space="0"/>
            </w:tcBorders>
            <w:noWrap w:val="0"/>
            <w:vAlign w:val="top"/>
          </w:tcPr>
          <w:p w14:paraId="2AEC90A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12" w:space="0"/>
              <w:right w:val="single" w:color="auto" w:sz="4" w:space="0"/>
            </w:tcBorders>
            <w:noWrap w:val="0"/>
            <w:vAlign w:val="top"/>
          </w:tcPr>
          <w:p w14:paraId="3E67F4E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5F87EAC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3AAF5D3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6D7F034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567EAC4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14:paraId="311EB92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14:paraId="10036BD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12" w:space="0"/>
              <w:right w:val="single" w:color="auto" w:sz="4" w:space="0"/>
            </w:tcBorders>
            <w:noWrap w:val="0"/>
            <w:vAlign w:val="top"/>
          </w:tcPr>
          <w:p w14:paraId="08FEF5F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12" w:space="0"/>
              <w:right w:val="single" w:color="auto" w:sz="12" w:space="0"/>
            </w:tcBorders>
            <w:noWrap w:val="0"/>
            <w:vAlign w:val="top"/>
          </w:tcPr>
          <w:p w14:paraId="1F1E57F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2FA19778">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FC468F6">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E41A4E2">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sectPr>
          <w:footerReference r:id="rId17" w:type="default"/>
          <w:pgSz w:w="16838" w:h="11906" w:orient="landscape"/>
          <w:pgMar w:top="1797" w:right="1440" w:bottom="1797" w:left="1440" w:header="851" w:footer="992" w:gutter="0"/>
          <w:cols w:space="720" w:num="1"/>
          <w:docGrid w:linePitch="312" w:charSpace="0"/>
        </w:sectPr>
      </w:pPr>
    </w:p>
    <w:p w14:paraId="707BBD24">
      <w:pPr>
        <w:pStyle w:val="3"/>
        <w:keepNext w:val="0"/>
        <w:keepLines w:val="0"/>
        <w:spacing w:before="0" w:after="0" w:line="360" w:lineRule="auto"/>
        <w:ind w:left="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服务人员履历表</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14:paraId="11457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14:paraId="46867B6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14:paraId="3DD7258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14:paraId="671479E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14:paraId="134DA9F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14:paraId="307B581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14:paraId="4D3EA5E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4622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77A5366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7B90864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1976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5DEDE34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1FA3C11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F26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6A0888C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049BA09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0B91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1E5A115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3ACA29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65B9FD8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E60917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14:paraId="01E9F58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04C6449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F7FF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46F34A8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D03061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024383F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19D775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14:paraId="73E8197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7C4E407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B1EF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70D5DC3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7547385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7108699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85B075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2421163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03F02C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77F1C4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0B18844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79C7E28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368D29D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2A07EEC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11F25A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491424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C790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14:paraId="6E7DC62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14:paraId="745727F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74AC6FB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3EA06A8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21A53756">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注：拟派各专业人员应分别填写本表。人员没有填写本表的，视为缺此职位（岗位）</w:t>
      </w:r>
    </w:p>
    <w:p w14:paraId="70BDA535">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代表：</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14:paraId="405B528C">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 xml:space="preserve">   日期：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14:paraId="18215B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03634AF">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5E2F90DA">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5EE4FEE6">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服务承诺质量</w:t>
      </w:r>
      <w:r>
        <w:rPr>
          <w:rFonts w:hint="eastAsia" w:ascii="宋体" w:hAnsi="宋体" w:eastAsia="宋体" w:cs="宋体"/>
          <w:b w:val="0"/>
          <w:bCs w:val="0"/>
          <w:color w:val="000000" w:themeColor="text1"/>
          <w:sz w:val="32"/>
          <w:szCs w:val="32"/>
          <w:highlight w:val="none"/>
          <w:lang w:eastAsia="zh-CN"/>
          <w14:textFill>
            <w14:solidFill>
              <w14:schemeClr w14:val="tx1"/>
            </w14:solidFill>
          </w14:textFill>
        </w:rPr>
        <w:t>书面承诺（格式自拟）</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14:paraId="296C8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14:paraId="0CD8BFBE">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14:paraId="1B25CBD4">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14:paraId="41AAC01D">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承诺指标</w:t>
            </w:r>
          </w:p>
          <w:p w14:paraId="6E6ED3C0">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14:paraId="4209D676">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具体实施措施</w:t>
            </w:r>
          </w:p>
        </w:tc>
      </w:tr>
      <w:tr w14:paraId="27BB2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69666AD4">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395F9E9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6A26E04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CF6CF8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50A1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044ABA40">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27AD3FB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3B0A1EF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3284D03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9E85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24202DCD">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48BBA86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58991D6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0D61BD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CA6A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7D7607C8">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0126F28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4FB4DDB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2CBA83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C3FB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16D57466">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14:paraId="26F0A52B">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62811D1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27B2483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1C2AF2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4EC5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00D7C7FC">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67353632">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79700FA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33199D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8857FB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CBB6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50B69009">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4F2D93B6">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1F95FE6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444C0F8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593DBFA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30C9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6307B958">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6B7317E5">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4903FBD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14C90A7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21E20FE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B922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032434BF">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B0100B1">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31086A6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4DE2F03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941AD7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3B51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14:paraId="36772009">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795E8194">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12" w:space="0"/>
              <w:right w:val="single" w:color="auto" w:sz="4" w:space="0"/>
            </w:tcBorders>
            <w:noWrap w:val="0"/>
            <w:vAlign w:val="top"/>
          </w:tcPr>
          <w:p w14:paraId="1F0DE0D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200BDBA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12" w:space="0"/>
              <w:right w:val="single" w:color="auto" w:sz="12" w:space="0"/>
            </w:tcBorders>
            <w:noWrap w:val="0"/>
            <w:vAlign w:val="top"/>
          </w:tcPr>
          <w:p w14:paraId="6EE94B6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5983EE8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注:以上表格可以自拟,但必须含以上项目内容</w:t>
      </w:r>
    </w:p>
    <w:p w14:paraId="29447269">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C02EC85">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1C45250">
      <w:pPr>
        <w:spacing w:line="360" w:lineRule="auto"/>
        <w:ind w:left="480" w:leftChars="57" w:right="-122" w:rightChars="-58" w:hanging="360" w:hangingChars="150"/>
        <w:rPr>
          <w:rFonts w:hint="eastAsia" w:ascii="宋体" w:hAnsi="宋体" w:eastAsia="宋体" w:cs="宋体"/>
          <w:color w:val="000000" w:themeColor="text1"/>
          <w:sz w:val="24"/>
          <w:szCs w:val="24"/>
          <w:highlight w:val="none"/>
          <w14:textFill>
            <w14:solidFill>
              <w14:schemeClr w14:val="tx1"/>
            </w14:solidFill>
          </w14:textFill>
        </w:rPr>
      </w:pPr>
    </w:p>
    <w:p w14:paraId="602B84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9899A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802A79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F4682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DDD5F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488B016">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7A31611F">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1CA17709">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1C07AF83">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2EBBF6F8">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69E9905C">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Cs/>
          <w:color w:val="000000" w:themeColor="text1"/>
          <w:sz w:val="32"/>
          <w:szCs w:val="32"/>
          <w:highlight w:val="none"/>
          <w14:textFill>
            <w14:solidFill>
              <w14:schemeClr w14:val="tx1"/>
            </w14:solidFill>
          </w14:textFill>
        </w:rPr>
        <w:t>的资格证明文件</w:t>
      </w:r>
    </w:p>
    <w:p w14:paraId="2416DB9F">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14:paraId="23F19E8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14:paraId="483F652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（项目编号）政府采购磋商邀请，本签字人愿意参加磋商，提供采购文件“采购服务及要求”中规定的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（服务名称），并证明提交的下列文件和说明是准确的和真实的。</w:t>
      </w:r>
    </w:p>
    <w:p w14:paraId="100FD27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B017A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中所有提交的文件和材料是真实的、准确的。</w:t>
      </w:r>
    </w:p>
    <w:p w14:paraId="5349B5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份，随</w:t>
      </w:r>
      <w:r>
        <w:rPr>
          <w:rFonts w:hint="default" w:ascii="宋体" w:hAnsi="宋体" w:cs="宋体"/>
          <w:color w:val="000000" w:themeColor="text1"/>
          <w:sz w:val="24"/>
          <w:szCs w:val="24"/>
          <w:highlight w:val="none"/>
          <w:lang w:val="en-US"/>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一同递交。</w:t>
      </w:r>
    </w:p>
    <w:p w14:paraId="76EB12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54B23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6B0E5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0A7D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7C13F4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066C7AD">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CC02122">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13333E1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291346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w:t>
      </w:r>
    </w:p>
    <w:p w14:paraId="000FDDF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06104A5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color w:val="000000" w:themeColor="text1"/>
          <w:sz w:val="32"/>
          <w:szCs w:val="32"/>
          <w:highlight w:val="none"/>
          <w14:textFill>
            <w14:solidFill>
              <w14:schemeClr w14:val="tx1"/>
            </w14:solidFill>
          </w14:textFill>
        </w:rPr>
        <w:t>的资格声明</w:t>
      </w:r>
    </w:p>
    <w:p w14:paraId="6F22F8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D0AC39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概况：                                   </w:t>
      </w:r>
    </w:p>
    <w:p w14:paraId="26DF74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80A02E6">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81B5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8982C5C">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6079A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14:paraId="1D4B8DBA">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B3056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CB053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67D822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257C183D">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32781A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1E69DD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9E512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86C649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553F426C">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8B5465F">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6A04C06">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14:paraId="02E7E6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资格且我方的磋商保证金将不予退还。</w:t>
      </w:r>
    </w:p>
    <w:p w14:paraId="4CDFB9D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14:paraId="403380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14:paraId="11D4CA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14:paraId="1E95CC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14:paraId="04EAF9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14:paraId="4524E91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C9F5DE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3.最近三年磋商项目在国内主要用户的名称和地址：</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4866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36B7BC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395038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43D587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46E365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159D54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14:paraId="34B0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09EBC4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10A510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A0F80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4331CC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0A00426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036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6FFD3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95281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0DCCA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FBA0B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B54D8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11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4978FA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81586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9A504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73520E9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0A3EF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B6D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AC037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9C5A2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48800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2988C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B8817E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3B1C58C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1C3F55C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4.单位营业执照、税务登记证见附件</w:t>
      </w:r>
    </w:p>
    <w:p w14:paraId="2302358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26CF05C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586B2A7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w:t>
      </w:r>
      <w:r>
        <w:rPr>
          <w:rFonts w:hint="eastAsia" w:ascii="宋体" w:hAnsi="宋体" w:cs="宋体"/>
          <w:bCs/>
          <w:color w:val="000000" w:themeColor="text1"/>
          <w:sz w:val="24"/>
          <w:szCs w:val="24"/>
          <w:highlight w:val="none"/>
          <w:lang w:eastAsia="zh-CN"/>
          <w14:textFill>
            <w14:solidFill>
              <w14:schemeClr w14:val="tx1"/>
            </w14:solidFill>
          </w14:textFill>
        </w:rPr>
        <w:t>上述</w:t>
      </w:r>
      <w:r>
        <w:rPr>
          <w:rFonts w:hint="eastAsia" w:ascii="宋体" w:hAnsi="宋体" w:eastAsia="宋体" w:cs="宋体"/>
          <w:bCs/>
          <w:color w:val="000000" w:themeColor="text1"/>
          <w:sz w:val="24"/>
          <w:szCs w:val="24"/>
          <w:highlight w:val="none"/>
          <w14:textFill>
            <w14:solidFill>
              <w14:schemeClr w14:val="tx1"/>
            </w14:solidFill>
          </w14:textFill>
        </w:rPr>
        <w:t>声明是真实、正确的，并已提供了全部现有资料和数据，我方同意根据贵方要求出示文件予以证实。</w:t>
      </w:r>
    </w:p>
    <w:p w14:paraId="14E8A7D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1BA0F2B6">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03B40F5C">
      <w:pPr>
        <w:spacing w:line="360" w:lineRule="auto"/>
        <w:ind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5373427">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082C1DE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13EC7473">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59F61BB">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16660C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B7BD4EB">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1D71DECE">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CE9188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DF980BF">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04C5B8B6">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E99CCE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F7CAE6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9E6744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EF298B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B3F9D79">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F36E4C1">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A24266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38E1D7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59B8458">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1FC25B2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BBA1D2A">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6620E5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14:paraId="5A4207A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3B9F70A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14:paraId="6D27EA36">
      <w:pPr>
        <w:pStyle w:val="12"/>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w:t>
      </w:r>
      <w:r>
        <w:rPr>
          <w:rFonts w:hint="eastAsia" w:hAnsi="宋体" w:cs="宋体"/>
          <w:color w:val="000000" w:themeColor="text1"/>
          <w:sz w:val="24"/>
          <w:szCs w:val="24"/>
          <w:highlight w:val="none"/>
          <w:u w:val="single"/>
          <w:lang w:eastAsia="zh-CN"/>
          <w14:textFill>
            <w14:solidFill>
              <w14:schemeClr w14:val="tx1"/>
            </w14:solidFill>
          </w14:textFill>
        </w:rPr>
        <w:t>供应商</w:t>
      </w:r>
      <w:r>
        <w:rPr>
          <w:rFonts w:hint="eastAsia" w:hAnsi="宋体" w:eastAsia="宋体" w:cs="宋体"/>
          <w:color w:val="000000" w:themeColor="text1"/>
          <w:sz w:val="24"/>
          <w:szCs w:val="24"/>
          <w:highlight w:val="none"/>
          <w:u w:val="single"/>
          <w14:textFill>
            <w14:solidFill>
              <w14:schemeClr w14:val="tx1"/>
            </w14:solidFill>
          </w14:textFill>
        </w:rPr>
        <w:t xml:space="preserve">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供应商</w:t>
      </w:r>
      <w:r>
        <w:rPr>
          <w:rFonts w:hint="eastAsia" w:hAnsi="宋体" w:eastAsia="宋体" w:cs="宋体"/>
          <w:color w:val="000000" w:themeColor="text1"/>
          <w:sz w:val="24"/>
          <w:szCs w:val="24"/>
          <w:highlight w:val="none"/>
          <w:u w:val="single"/>
          <w14:textFill>
            <w14:solidFill>
              <w14:schemeClr w14:val="tx1"/>
            </w14:solidFill>
          </w14:textFill>
        </w:rPr>
        <w:t>代表姓名）</w:t>
      </w:r>
      <w:r>
        <w:rPr>
          <w:rFonts w:hint="eastAsia" w:hAnsi="宋体" w:eastAsia="宋体" w:cs="宋体"/>
          <w:color w:val="000000" w:themeColor="text1"/>
          <w:sz w:val="24"/>
          <w:szCs w:val="24"/>
          <w:highlight w:val="none"/>
          <w14:textFill>
            <w14:solidFill>
              <w14:schemeClr w14:val="tx1"/>
            </w14:solidFill>
          </w14:textFill>
        </w:rPr>
        <w:t>为</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项目（项目编号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；（2）签署并重新提交</w:t>
      </w:r>
      <w:r>
        <w:rPr>
          <w:rFonts w:hint="default" w:hAnsi="宋体" w:cs="宋体"/>
          <w:color w:val="000000" w:themeColor="text1"/>
          <w:sz w:val="24"/>
          <w:szCs w:val="24"/>
          <w:highlight w:val="none"/>
          <w:lang w:val="en-US"/>
          <w14:textFill>
            <w14:solidFill>
              <w14:schemeClr w14:val="tx1"/>
            </w14:solidFill>
          </w14:textFill>
        </w:rPr>
        <w:t>磋商响应文件</w:t>
      </w:r>
      <w:r>
        <w:rPr>
          <w:rFonts w:hint="eastAsia" w:hAnsi="宋体" w:eastAsia="宋体" w:cs="宋体"/>
          <w:color w:val="000000" w:themeColor="text1"/>
          <w:sz w:val="24"/>
          <w:szCs w:val="24"/>
          <w:highlight w:val="none"/>
          <w14:textFill>
            <w14:solidFill>
              <w14:schemeClr w14:val="tx1"/>
            </w14:solidFill>
          </w14:textFill>
        </w:rPr>
        <w:t>及报价；（3）退出磋商；（4）签订合同和处理有关事宜。</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代表在采购过程中所签署的一切文件和处理与之有关的一切事务，本公司均予以认可并对此承担责任。</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eastAsia="宋体" w:cs="宋体"/>
          <w:color w:val="000000" w:themeColor="text1"/>
          <w:sz w:val="24"/>
          <w:szCs w:val="24"/>
          <w:highlight w:val="none"/>
          <w14:textFill>
            <w14:solidFill>
              <w14:schemeClr w14:val="tx1"/>
            </w14:solidFill>
          </w14:textFill>
        </w:rPr>
        <w:t>代表无转委托权。特此授权。</w:t>
      </w:r>
    </w:p>
    <w:p w14:paraId="06500DDC">
      <w:pPr>
        <w:pStyle w:val="12"/>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14:paraId="18538C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37F9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12DEF70">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0DEA1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ED1DB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14:paraId="23CCFEC3">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14:paraId="38A409F1">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DAAB050">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7D87DA">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14:paraId="64BE101E">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7254CDB">
      <w:pPr>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628D3FD">
      <w:pPr>
        <w:pStyle w:val="68"/>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51BAC0D0">
      <w:pPr>
        <w:pStyle w:val="68"/>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4F220EF">
      <w:pPr>
        <w:pStyle w:val="68"/>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23BF7A13">
      <w:pPr>
        <w:pStyle w:val="68"/>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0379456">
      <w:pPr>
        <w:pStyle w:val="68"/>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700446A">
      <w:pPr>
        <w:pStyle w:val="68"/>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单位营业执照、税务登记证</w:t>
      </w:r>
    </w:p>
    <w:p w14:paraId="2801A8D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792A81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05796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5CC67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14:paraId="1D4650F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（签发机关名称）签发的我方单位营业执照副本复印件，该</w:t>
      </w:r>
      <w:r>
        <w:rPr>
          <w:rFonts w:hint="eastAsia" w:ascii="宋体" w:hAnsi="宋体" w:cs="宋体"/>
          <w:color w:val="000000" w:themeColor="text1"/>
          <w:sz w:val="24"/>
          <w:szCs w:val="24"/>
          <w:highlight w:val="none"/>
          <w:lang w:eastAsia="zh-CN"/>
          <w14:textFill>
            <w14:solidFill>
              <w14:schemeClr w14:val="tx1"/>
            </w14:solidFill>
          </w14:textFill>
        </w:rPr>
        <w:t>营业执照</w:t>
      </w:r>
      <w:r>
        <w:rPr>
          <w:rFonts w:hint="eastAsia" w:ascii="宋体" w:hAnsi="宋体" w:eastAsia="宋体" w:cs="宋体"/>
          <w:color w:val="000000" w:themeColor="text1"/>
          <w:sz w:val="24"/>
          <w:szCs w:val="24"/>
          <w:highlight w:val="none"/>
          <w14:textFill>
            <w14:solidFill>
              <w14:schemeClr w14:val="tx1"/>
            </w14:solidFill>
          </w14:textFill>
        </w:rPr>
        <w:t>，真实有效。</w:t>
      </w:r>
    </w:p>
    <w:p w14:paraId="166C1A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14:paraId="5D9DC5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D10FC5">
      <w:pPr>
        <w:pStyle w:val="7"/>
        <w:spacing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注：单位营业执照、税务登记证提供复印件，由企业加盖公章并注明复印件与原件一致。或提供含统一社会信用代码证照。</w:t>
      </w:r>
    </w:p>
    <w:p w14:paraId="327C8F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32BDFA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536AC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4D296D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7360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E3A7E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1FFBD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8CCE7F3">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5B927F9">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931FC08">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1C1319B">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EF4FF98">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p>
    <w:p w14:paraId="30A1E0CB">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1E25011C">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48512119">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16F44EB7">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0B20B844">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2D5CD4CA">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cs="宋体"/>
          <w:b/>
          <w:bCs/>
          <w:color w:val="000000" w:themeColor="text1"/>
          <w:sz w:val="32"/>
          <w:szCs w:val="32"/>
          <w:highlight w:val="none"/>
          <w:lang w:eastAsia="zh-CN"/>
          <w14:textFill>
            <w14:solidFill>
              <w14:schemeClr w14:val="tx1"/>
            </w14:solidFill>
          </w14:textFill>
        </w:rPr>
        <w:t>书面承诺（格式自拟）</w:t>
      </w:r>
    </w:p>
    <w:p w14:paraId="1DCF52D8">
      <w:pPr>
        <w:pStyle w:val="68"/>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14:paraId="2FE62CF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致：厦门万翔招标有限公司</w:t>
      </w:r>
    </w:p>
    <w:p w14:paraId="7C4D411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137D3F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14:paraId="132D1E4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C0B1F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497E3C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164F23C">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3D1B3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09D2D8">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2E82B5">
      <w:pPr>
        <w:spacing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14:paraId="26BAF32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4FE22BB">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6AD572D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72A004E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5EF9C99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19948D9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5CD30A7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4E8858F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06B155D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16C885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208F71D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6D7396EF">
      <w:pPr>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附：廉洁</w:t>
      </w:r>
      <w:r>
        <w:rPr>
          <w:rFonts w:hint="eastAsia" w:ascii="宋体" w:hAnsi="宋体" w:cs="宋体"/>
          <w:bCs/>
          <w:color w:val="000000" w:themeColor="text1"/>
          <w:sz w:val="24"/>
          <w:szCs w:val="24"/>
          <w:highlight w:val="none"/>
          <w:lang w:eastAsia="zh-CN"/>
          <w14:textFill>
            <w14:solidFill>
              <w14:schemeClr w14:val="tx1"/>
            </w14:solidFill>
          </w14:textFill>
        </w:rPr>
        <w:t>书面承诺（格式自拟）</w:t>
      </w:r>
    </w:p>
    <w:p w14:paraId="49F48090">
      <w:pPr>
        <w:widowControl/>
        <w:spacing w:line="360" w:lineRule="auto"/>
        <w:ind w:left="69"/>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w:t>
      </w:r>
      <w:r>
        <w:rPr>
          <w:rFonts w:hint="eastAsia" w:ascii="宋体" w:hAnsi="宋体" w:cs="宋体"/>
          <w:b/>
          <w:color w:val="000000" w:themeColor="text1"/>
          <w:sz w:val="32"/>
          <w:szCs w:val="32"/>
          <w:highlight w:val="none"/>
          <w:lang w:eastAsia="zh-CN"/>
          <w14:textFill>
            <w14:solidFill>
              <w14:schemeClr w14:val="tx1"/>
            </w14:solidFill>
          </w14:textFill>
        </w:rPr>
        <w:t>书面承诺（格式自拟）</w:t>
      </w:r>
    </w:p>
    <w:p w14:paraId="59BE7206">
      <w:pPr>
        <w:widowControl/>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54D72100">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14:paraId="343E87F7">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58300FA4">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14:paraId="0708F3A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w:t>
      </w:r>
      <w:r>
        <w:rPr>
          <w:rFonts w:hint="eastAsia" w:ascii="宋体" w:hAnsi="宋体" w:cs="宋体"/>
          <w:color w:val="000000" w:themeColor="text1"/>
          <w:sz w:val="24"/>
          <w:szCs w:val="24"/>
          <w:highlight w:val="none"/>
          <w:lang w:eastAsia="zh-CN"/>
          <w14:textFill>
            <w14:solidFill>
              <w14:schemeClr w14:val="tx1"/>
            </w14:solidFill>
          </w14:textFill>
        </w:rPr>
        <w:t>5706818</w:t>
      </w:r>
      <w:r>
        <w:rPr>
          <w:rFonts w:hint="eastAsia" w:ascii="宋体" w:hAnsi="宋体" w:eastAsia="宋体" w:cs="宋体"/>
          <w:color w:val="000000" w:themeColor="text1"/>
          <w:sz w:val="24"/>
          <w:szCs w:val="24"/>
          <w:highlight w:val="none"/>
          <w14:textFill>
            <w14:solidFill>
              <w14:schemeClr w14:val="tx1"/>
            </w14:solidFill>
          </w14:textFill>
        </w:rPr>
        <w:t>；举报邮箱：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"mailto:zpk@iport.com.cn"</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31"/>
          <w:rFonts w:hint="eastAsia" w:ascii="宋体" w:hAnsi="宋体" w:cs="宋体"/>
          <w:color w:val="000000" w:themeColor="text1"/>
          <w:sz w:val="24"/>
          <w:szCs w:val="24"/>
          <w:highlight w:val="none"/>
          <w:lang w:eastAsia="zh-CN"/>
          <w14:textFill>
            <w14:solidFill>
              <w14:schemeClr w14:val="tx1"/>
            </w14:solidFill>
          </w14:textFill>
        </w:rPr>
        <w:t>cts@iport.com.cn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14:paraId="5A3725D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w:t>
      </w:r>
      <w:r>
        <w:rPr>
          <w:rFonts w:hint="eastAsia" w:ascii="宋体" w:hAnsi="宋体" w:cs="宋体"/>
          <w:color w:val="000000" w:themeColor="text1"/>
          <w:sz w:val="24"/>
          <w:szCs w:val="24"/>
          <w:highlight w:val="none"/>
          <w:lang w:eastAsia="zh-CN"/>
          <w14:textFill>
            <w14:solidFill>
              <w14:schemeClr w14:val="tx1"/>
            </w14:solidFill>
          </w14:textFill>
        </w:rPr>
        <w:t>书面承诺（格式自拟）</w:t>
      </w:r>
      <w:r>
        <w:rPr>
          <w:rFonts w:hint="eastAsia" w:ascii="宋体" w:hAnsi="宋体" w:eastAsia="宋体" w:cs="宋体"/>
          <w:color w:val="000000" w:themeColor="text1"/>
          <w:sz w:val="24"/>
          <w:szCs w:val="24"/>
          <w:highlight w:val="none"/>
          <w14:textFill>
            <w14:solidFill>
              <w14:schemeClr w14:val="tx1"/>
            </w14:solidFill>
          </w14:textFill>
        </w:rPr>
        <w:t>（包括但不限于本</w:t>
      </w:r>
      <w:r>
        <w:rPr>
          <w:rFonts w:hint="eastAsia" w:ascii="宋体" w:hAnsi="宋体" w:cs="宋体"/>
          <w:color w:val="000000" w:themeColor="text1"/>
          <w:sz w:val="24"/>
          <w:szCs w:val="24"/>
          <w:highlight w:val="none"/>
          <w:lang w:eastAsia="zh-CN"/>
          <w14:textFill>
            <w14:solidFill>
              <w14:schemeClr w14:val="tx1"/>
            </w14:solidFill>
          </w14:textFill>
        </w:rPr>
        <w:t>书面承诺（格式自拟）</w:t>
      </w:r>
      <w:r>
        <w:rPr>
          <w:rFonts w:hint="eastAsia" w:ascii="宋体" w:hAnsi="宋体" w:eastAsia="宋体" w:cs="宋体"/>
          <w:color w:val="000000" w:themeColor="text1"/>
          <w:sz w:val="24"/>
          <w:szCs w:val="24"/>
          <w:highlight w:val="none"/>
          <w14:textFill>
            <w14:solidFill>
              <w14:schemeClr w14:val="tx1"/>
            </w14:solidFill>
          </w14:textFill>
        </w:rPr>
        <w:t>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14:paraId="75CA5130">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019FCFB">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4977279F">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14:paraId="6FE1ED8E">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1D0B527B">
      <w:pPr>
        <w:spacing w:line="360" w:lineRule="auto"/>
        <w:ind w:left="69" w:firstLine="460" w:firstLineChars="192"/>
        <w:rPr>
          <w:rStyle w:val="27"/>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58E579C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E3391E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531648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39924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0CD7B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F8E5FF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8F9C35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A6AB66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78F4DC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CB4DB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26A0C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CE979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B0456C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5570C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BDE686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82814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5021F1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EA0EB7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47DFC7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566357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39918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92E0C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A324D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A01ABE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92D3D68">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退还磋商保证金申请表</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742"/>
      </w:tblGrid>
      <w:tr w14:paraId="09BE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91109F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4742" w:type="dxa"/>
            <w:noWrap w:val="0"/>
            <w:vAlign w:val="top"/>
          </w:tcPr>
          <w:p w14:paraId="3AA0E1E7">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6C2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D10786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4742" w:type="dxa"/>
            <w:noWrap w:val="0"/>
            <w:vAlign w:val="top"/>
          </w:tcPr>
          <w:p w14:paraId="53A6868A">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D265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F2DCA0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4742" w:type="dxa"/>
            <w:noWrap w:val="0"/>
            <w:vAlign w:val="top"/>
          </w:tcPr>
          <w:p w14:paraId="1DB90EB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BE56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CE26EA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4742" w:type="dxa"/>
            <w:noWrap w:val="0"/>
            <w:vAlign w:val="top"/>
          </w:tcPr>
          <w:p w14:paraId="2FA67F60">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21A3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8FD537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磋商保证金金额</w:t>
            </w:r>
          </w:p>
        </w:tc>
        <w:tc>
          <w:tcPr>
            <w:tcW w:w="4742" w:type="dxa"/>
            <w:noWrap w:val="0"/>
            <w:vAlign w:val="top"/>
          </w:tcPr>
          <w:p w14:paraId="3E408DE0">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8DF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DCB18F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4742" w:type="dxa"/>
            <w:noWrap w:val="0"/>
            <w:vAlign w:val="top"/>
          </w:tcPr>
          <w:p w14:paraId="59D193C7">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B6E7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B00457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4742" w:type="dxa"/>
            <w:noWrap w:val="0"/>
            <w:vAlign w:val="top"/>
          </w:tcPr>
          <w:p w14:paraId="7B7BE8C5">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77F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5BE71FA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开户行账号（原来转磋商保证金账号）</w:t>
            </w:r>
          </w:p>
        </w:tc>
        <w:tc>
          <w:tcPr>
            <w:tcW w:w="4742" w:type="dxa"/>
            <w:noWrap w:val="0"/>
            <w:vAlign w:val="top"/>
          </w:tcPr>
          <w:p w14:paraId="0F7F1835">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61E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95129F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4742" w:type="dxa"/>
            <w:noWrap w:val="0"/>
            <w:vAlign w:val="top"/>
          </w:tcPr>
          <w:p w14:paraId="0B32598E">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84F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17D5CB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742" w:type="dxa"/>
            <w:noWrap w:val="0"/>
            <w:vAlign w:val="top"/>
          </w:tcPr>
          <w:p w14:paraId="77DF8C1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2671447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自行负责。</w:t>
      </w:r>
    </w:p>
    <w:p w14:paraId="05C0425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7309FA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名称，加盖公章）</w:t>
      </w:r>
    </w:p>
    <w:p w14:paraId="0030137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07096EDF">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8" w:type="default"/>
          <w:pgSz w:w="11906" w:h="16838"/>
          <w:pgMar w:top="1440" w:right="1800" w:bottom="1440" w:left="1800" w:header="851" w:footer="992" w:gutter="0"/>
          <w:cols w:space="720" w:num="1"/>
          <w:docGrid w:type="lines" w:linePitch="312" w:charSpace="0"/>
        </w:sectPr>
      </w:pPr>
    </w:p>
    <w:p w14:paraId="0802A776">
      <w:pPr>
        <w:spacing w:line="360" w:lineRule="auto"/>
        <w:ind w:firstLine="4160" w:firstLineChars="1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14:paraId="036E9F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9261A2D">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供应商提出质疑应当提交质疑函和必要的证明材料。质疑函应当包括下列内容：</w:t>
      </w:r>
    </w:p>
    <w:p w14:paraId="71006030">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(一)供应商的姓名或者名称、地址、邮编、联系人及联系电话;</w:t>
      </w:r>
    </w:p>
    <w:p w14:paraId="6B2E8AE7">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(二)质疑项目的名称、编号;</w:t>
      </w:r>
    </w:p>
    <w:p w14:paraId="24CFDA31">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(三)具体、明确的质疑事项和与质疑事项相关的请求;</w:t>
      </w:r>
    </w:p>
    <w:p w14:paraId="5F0AB1DF">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(四)事实依据;</w:t>
      </w:r>
    </w:p>
    <w:p w14:paraId="1A85EE4E">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(五)必要的法律依据;</w:t>
      </w:r>
    </w:p>
    <w:p w14:paraId="33037BD4">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(六)提出质疑的日期。</w:t>
      </w:r>
    </w:p>
    <w:p w14:paraId="7C5BFA13">
      <w:pPr>
        <w:pStyle w:val="21"/>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325498B0">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3E7F7124">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65320EAB">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286EA3D5">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58CFC9E2">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32155D67">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3DA55AAA">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6BCA95F8">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53E5682C">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5B98D3AE">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47F93EE4">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4211BF56">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02CD76CF">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3EFA1839">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7CF8B486">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521EC7DC">
      <w:pPr>
        <w:pStyle w:val="21"/>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280E5BD4">
      <w:pPr>
        <w:pStyle w:val="21"/>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评分响应要求</w:t>
      </w:r>
    </w:p>
    <w:tbl>
      <w:tblPr>
        <w:tblStyle w:val="25"/>
        <w:tblW w:w="0" w:type="auto"/>
        <w:tblInd w:w="0" w:type="dxa"/>
        <w:tblLayout w:type="fixed"/>
        <w:tblCellMar>
          <w:top w:w="0" w:type="dxa"/>
          <w:left w:w="108" w:type="dxa"/>
          <w:bottom w:w="0" w:type="dxa"/>
          <w:right w:w="108" w:type="dxa"/>
        </w:tblCellMar>
      </w:tblPr>
      <w:tblGrid>
        <w:gridCol w:w="883"/>
        <w:gridCol w:w="4328"/>
        <w:gridCol w:w="1701"/>
        <w:gridCol w:w="1560"/>
        <w:gridCol w:w="1134"/>
      </w:tblGrid>
      <w:tr w14:paraId="1C08390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C96879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328" w:type="dxa"/>
            <w:tcBorders>
              <w:top w:val="single" w:color="auto" w:sz="4" w:space="0"/>
              <w:left w:val="single" w:color="auto" w:sz="4" w:space="0"/>
              <w:bottom w:val="single" w:color="auto" w:sz="4" w:space="0"/>
              <w:right w:val="single" w:color="auto" w:sz="4" w:space="0"/>
            </w:tcBorders>
            <w:noWrap w:val="0"/>
            <w:vAlign w:val="center"/>
          </w:tcPr>
          <w:p w14:paraId="4DCE4E7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评分界定</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C10257">
            <w:pPr>
              <w:spacing w:line="360" w:lineRule="auto"/>
              <w:ind w:firstLine="118" w:firstLineChars="4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满分分值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00FAE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8DA00B">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页码</w:t>
            </w:r>
          </w:p>
        </w:tc>
      </w:tr>
      <w:tr w14:paraId="25738A6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0739DC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3C5048B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7E14C3">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8962E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B84E4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38F7F13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7A2C16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6B0F11E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856571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0AE4933">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A608F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6D3B51B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597F97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761074D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767E1C">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9A1E41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008D02">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14912F9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6A0D0D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00A21033">
            <w:pPr>
              <w:tabs>
                <w:tab w:val="left" w:pos="-1080"/>
                <w:tab w:val="left" w:pos="180"/>
                <w:tab w:val="left" w:pos="1080"/>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CE9D40">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2A7A565">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0E60BB">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5C9066A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B3A5800">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2B8F59C2">
            <w:pPr>
              <w:tabs>
                <w:tab w:val="left" w:pos="720"/>
              </w:tabs>
              <w:spacing w:line="360" w:lineRule="auto"/>
              <w:ind w:right="18"/>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6A4D1D">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6A77F16">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FE61BB">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14:paraId="03D39BF9">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94DDE70">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347BD1FF">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18047EF4">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2E619A3">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170E640F">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14A7DB72">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178B5482">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668CE58E">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405C5251">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336D544">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2A7549C8">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27C14343">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01F979D3">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281EFF7F">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05226D91">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4C37E014">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3B28490B">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72913DAB">
      <w:pPr>
        <w:pStyle w:val="73"/>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14:paraId="79B25377">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14:paraId="2007E07B">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14:paraId="2180DA9B">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14:paraId="4F93E476">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46E9F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42F053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5BCC90F4">
            <w:pPr>
              <w:pStyle w:val="73"/>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内属于节能产品的报价情况</w:t>
            </w:r>
          </w:p>
        </w:tc>
      </w:tr>
      <w:tr w14:paraId="1173C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477FCC38">
            <w:pPr>
              <w:pStyle w:val="73"/>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2C1B8D03">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5127F7D3">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12B6C1E2">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1D267C52">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1F3DF774">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30807127">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13323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5A6FF52E">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0A40C886">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330157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02C6780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338C6E1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391D945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1A282D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4FEB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5171460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51858982">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2C95EB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5F19B6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09007FF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5E0804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7E1DC1C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E680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7180E7A">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28595C2B">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1B3F9F73">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2DA27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7368E0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59236297">
            <w:pPr>
              <w:pStyle w:val="73"/>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内属于环境标志产品的报价情况</w:t>
            </w:r>
          </w:p>
        </w:tc>
      </w:tr>
      <w:tr w14:paraId="5AC1B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114B982">
            <w:pPr>
              <w:pStyle w:val="73"/>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37CEED7A">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294533B8">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37563440">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166C93DC">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1FB6A303">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0AB69222">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5D7A1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03CE72E5">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44DF3CB8">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358777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14E3EA2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544F1F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27D28A9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3CCBCE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2A6D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3222B2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55F90DC">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3956B53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62A6A9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38B9F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4E556F5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7A14ED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00CB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4921EC5">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06EC1A35">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7A95C6A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2E5F088A">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14782CF8">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default" w:ascii="宋体" w:hAnsi="宋体" w:cs="宋体"/>
          <w:color w:val="000000" w:themeColor="text1"/>
          <w:sz w:val="24"/>
          <w:szCs w:val="24"/>
          <w:highlight w:val="none"/>
          <w:lang w:val="en-US" w:eastAsia="zh-CN"/>
          <w14:textFill>
            <w14:solidFill>
              <w14:schemeClr w14:val="tx1"/>
            </w14:solidFill>
          </w14:textFill>
        </w:rPr>
        <w:t>磋商响应文件</w:t>
      </w: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须知前附表5：节能、环境标志产品采购政策</w:t>
      </w:r>
      <w:r>
        <w:rPr>
          <w:rFonts w:ascii="宋体" w:hAnsi="宋体" w:eastAsia="宋体" w:cs="宋体"/>
          <w:color w:val="000000" w:themeColor="text1"/>
          <w:sz w:val="24"/>
          <w:szCs w:val="24"/>
          <w:highlight w:val="none"/>
          <w14:textFill>
            <w14:solidFill>
              <w14:schemeClr w14:val="tx1"/>
            </w14:solidFill>
          </w14:textFill>
        </w:rPr>
        <w:t>”。</w:t>
      </w:r>
    </w:p>
    <w:p w14:paraId="4AB75EC0">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为单位，不同</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请分别填写；同一</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请按照其品目号顺序分别填写。</w:t>
      </w:r>
    </w:p>
    <w:p w14:paraId="3DF6855F">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14:paraId="6C130F18">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p w14:paraId="67E97FE2">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14:paraId="1BCB7784">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14:paraId="1B325CC6">
      <w:pPr>
        <w:pStyle w:val="73"/>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14:paraId="5DBA688B">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7480A9F5">
      <w:pPr>
        <w:pStyle w:val="73"/>
        <w:spacing w:line="360" w:lineRule="auto"/>
        <w:ind w:firstLine="480"/>
        <w:jc w:val="right"/>
        <w:outlineLvl w:val="9"/>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4042AC26">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14:paraId="19E1700B">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14:paraId="19E85D79">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14:paraId="42B6180E">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14:paraId="7E90B804">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497E833B">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C65772C">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0F48D677">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268C42F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5E90BB9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26720706">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16CD45AE">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39E3AB39">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3C3A529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26C5D60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4CCFB26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2B73AD5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02261743">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14:paraId="624D52C7">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94137F8">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266B3CE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6D54D7E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238A2F5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F71E6D5">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6B9924C">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21C613E8">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7ED6B34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5082784C">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5EBD763B">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3887C6F4">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希望获得中小企业政策支持的，应从制造商处获得充分、准确的信息。对相关制造商信息了解不充分，或者不能确定相关信息真实、准确的，不建议出具《中小企业声明函》。</w:t>
      </w:r>
    </w:p>
    <w:p w14:paraId="60CE6409">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175457F7">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14:paraId="1F260E54">
      <w:pPr>
        <w:pStyle w:val="73"/>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7C5B487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14:paraId="74CDC997">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为监狱企业的，根据其提供的由省级以上监狱管理局、戒毒管理局（含新疆生产建设兵团）出具的属于监狱企业的证明文件进行认定，监狱企业视同小型、微型企业。</w:t>
      </w:r>
    </w:p>
    <w:p w14:paraId="22B3D6DB">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为残疾人福利性单位的，根据其提供的《残疾人福利性单位声明函》（格式附后）进行认定，残疾人福利性单位视同小型、微型企业。残疾人福利性单位属于小型、微型企业的，不重复享受政策。</w:t>
      </w:r>
    </w:p>
    <w:p w14:paraId="489D1086">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7AB46A24">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14:paraId="2F256017">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参加贵单位的（填写“项目名称”）项目采购活动：</w:t>
      </w:r>
    </w:p>
    <w:p w14:paraId="35863359">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9E1E12E">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承建的（填写“所投采购包、品目号”）工程</w:t>
      </w:r>
    </w:p>
    <w:p w14:paraId="1410A06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承接的（填写“所投采购包、品目号”）服务；</w:t>
      </w:r>
    </w:p>
    <w:p w14:paraId="4AB3EBE0">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对上述声明的真实性负责。如有虚假，将依法承担相应责任。</w:t>
      </w:r>
    </w:p>
    <w:p w14:paraId="099E2D3F">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14:paraId="4AE0033C">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按照实际情况编制填写本声明函，并在相应的（）中打“√”。</w:t>
      </w:r>
    </w:p>
    <w:p w14:paraId="52B96F52">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14:paraId="22F9C06E">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22E3D1E4">
      <w:pPr>
        <w:pStyle w:val="73"/>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50C3BBAF">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786B752A">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0AA7E40B">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14:paraId="4239D7A3">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为监狱企业，提供本单位制造的货物（承接的服务），并在</w:t>
      </w:r>
      <w:r>
        <w:rPr>
          <w:rFonts w:hint="default" w:ascii="宋体" w:hAnsi="宋体" w:cs="宋体"/>
          <w:color w:val="000000" w:themeColor="text1"/>
          <w:sz w:val="24"/>
          <w:szCs w:val="24"/>
          <w:highlight w:val="none"/>
          <w:lang w:val="en-US" w:eastAsia="zh-CN"/>
          <w14:textFill>
            <w14:solidFill>
              <w14:schemeClr w14:val="tx1"/>
            </w14:solidFill>
          </w14:textFill>
        </w:rPr>
        <w:t>磋商响应文件</w:t>
      </w:r>
      <w:r>
        <w:rPr>
          <w:rFonts w:ascii="宋体" w:hAnsi="宋体" w:eastAsia="宋体" w:cs="宋体"/>
          <w:color w:val="000000" w:themeColor="text1"/>
          <w:sz w:val="24"/>
          <w:szCs w:val="24"/>
          <w:highlight w:val="none"/>
          <w14:textFill>
            <w14:solidFill>
              <w14:schemeClr w14:val="tx1"/>
            </w14:solidFill>
          </w14:textFill>
        </w:rPr>
        <w:t>中提供省级以上监狱管理局、戒毒管理局（含新疆生产建设兵团）出具的属于监狱企业的证明文件。</w:t>
      </w:r>
    </w:p>
    <w:p w14:paraId="3A1D1D0F">
      <w:pPr>
        <w:pStyle w:val="73"/>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40F26A8F">
      <w:pPr>
        <w:pStyle w:val="73"/>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14:paraId="17F7868F">
      <w:pPr>
        <w:pStyle w:val="73"/>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447E1F60">
      <w:pPr>
        <w:pStyle w:val="73"/>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14:paraId="1EC3F66B">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632CBDD7">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50CEC61B">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45B21F9F">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3FAFB2F8">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38336AF5">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9DE05A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322B5C8">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56D96B7">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4AE7165E">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B985DAE">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4CD20E7">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1C0D4C3">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CDA2BB6">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7CD34EB">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5D116C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21D4499F">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1F88641">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465824CD">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BB7D423">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D3F9AB2">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14:paraId="372454B9">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14:paraId="3EEF31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14:paraId="005BFE4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14:paraId="755B82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default" w:ascii="宋体" w:hAnsi="宋体" w:cs="宋体"/>
          <w:color w:val="000000" w:themeColor="text1"/>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14:paraId="6B63B9C8">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14:paraId="601FED41">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8ECBF80">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01037B">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6A1D9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14:paraId="11FFA7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14:paraId="1E6030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14:paraId="4FB6921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52C24F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C5D46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0E8DF65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97BE91C">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369400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53449B35">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0CED0F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44EFA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2D2A6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B2D5C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D8508F4">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附件：福建省</w:t>
      </w:r>
      <w:r>
        <w:rPr>
          <w:rFonts w:hint="eastAsia"/>
          <w:color w:val="000000" w:themeColor="text1"/>
          <w:highlight w:val="none"/>
          <w14:textFill>
            <w14:solidFill>
              <w14:schemeClr w14:val="tx1"/>
            </w14:solidFill>
          </w14:textFill>
        </w:rPr>
        <w:t>政府采购供应商资格承诺函</w:t>
      </w:r>
    </w:p>
    <w:p w14:paraId="032CB33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57A898F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致(采购人或政府采购代理机构):</w:t>
      </w:r>
    </w:p>
    <w:p w14:paraId="48C5F336">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单位名称(自然人姓名):</w:t>
      </w:r>
    </w:p>
    <w:p w14:paraId="7B7FE819">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统一社会信用代码(身份证号码):</w:t>
      </w:r>
    </w:p>
    <w:p w14:paraId="4AD330A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法定代表人(负责人):</w:t>
      </w:r>
    </w:p>
    <w:p w14:paraId="7BB9EA1C">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联系地址和电话:</w:t>
      </w:r>
    </w:p>
    <w:p w14:paraId="433E276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EB1B7B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1C57A43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一、我单位(本人)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采购文件要求以及《中华人民共和国政府采购法》第二十二条规定的条件:</w:t>
      </w:r>
    </w:p>
    <w:p w14:paraId="2B6A3CB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52F2EC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4033E06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7F08E8D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7426520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653A1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法律、行政法规规定的其他条件。</w:t>
      </w:r>
    </w:p>
    <w:p w14:paraId="4234F0A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377A4F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000000" w:themeColor="text1"/>
          <w:sz w:val="24"/>
          <w:szCs w:val="24"/>
          <w:highlight w:val="none"/>
          <w:lang w:eastAsia="zh-CN"/>
          <w14:textFill>
            <w14:solidFill>
              <w14:schemeClr w14:val="tx1"/>
            </w14:solidFill>
          </w14:textFill>
        </w:rPr>
        <w:t>和政府采购法律法规有关</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w:t>
      </w:r>
      <w:r>
        <w:rPr>
          <w:rFonts w:hint="eastAsia" w:ascii="宋体" w:hAnsi="宋体" w:eastAsia="宋体" w:cs="宋体"/>
          <w:color w:val="000000" w:themeColor="text1"/>
          <w:sz w:val="24"/>
          <w:szCs w:val="24"/>
          <w:highlight w:val="none"/>
          <w14:textFill>
            <w14:solidFill>
              <w14:schemeClr w14:val="tx1"/>
            </w14:solidFill>
          </w14:textFill>
        </w:rPr>
        <w:t>处理。</w:t>
      </w:r>
    </w:p>
    <w:p w14:paraId="2503AFAB">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名称(单位公章):</w:t>
      </w:r>
    </w:p>
    <w:p w14:paraId="069EFEA3">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highlight w:val="none"/>
          <w14:textFill>
            <w14:solidFill>
              <w14:schemeClr w14:val="tx1"/>
            </w14:solidFill>
          </w14:textFill>
        </w:rPr>
        <w:t>日</w:t>
      </w:r>
    </w:p>
    <w:p w14:paraId="02CD26DE">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4F975298">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3E876D8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78E5181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1.我单位(本人)专指参加政府采购活动的供应商(含自然人)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6AD84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资格承诺的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(响应)文件中按此模板提供承诺函，否则，视为</w:t>
      </w:r>
      <w:r>
        <w:rPr>
          <w:rFonts w:hint="eastAsia" w:ascii="宋体" w:hAnsi="宋体" w:eastAsia="宋体" w:cs="宋体"/>
          <w:color w:val="000000" w:themeColor="text1"/>
          <w:sz w:val="24"/>
          <w:szCs w:val="24"/>
          <w:highlight w:val="none"/>
          <w:lang w:eastAsia="zh-CN"/>
          <w14:textFill>
            <w14:solidFill>
              <w14:schemeClr w14:val="tx1"/>
            </w14:solidFill>
          </w14:textFill>
        </w:rPr>
        <w:t>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文件规定提交</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的资格及资信文件，按资格审查不通过处理。</w:t>
      </w:r>
    </w:p>
    <w:p w14:paraId="6BACA2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sectPr>
      <w:footerReference r:id="rId1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8858">
    <w:pPr>
      <w:pStyle w:val="16"/>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A28A">
    <w:pPr>
      <w:pStyle w:val="16"/>
      <w:rPr>
        <w:rFonts w:hint="eastAsia" w:ascii="宋体" w:hAnsi="宋体"/>
      </w:rPr>
    </w:pPr>
    <w:r>
      <w:rPr>
        <w:rFonts w:hint="eastAsia"/>
      </w:rPr>
      <w:t xml:space="preserve">                                                                      </w:t>
    </w:r>
    <w:r>
      <w:rPr>
        <w:rFonts w:hint="eastAsia" w:ascii="宋体" w:hAnsi="宋体"/>
      </w:rPr>
      <w:t xml:space="preserve"> </w:t>
    </w:r>
    <w:r>
      <w:rPr>
        <w:rStyle w:val="28"/>
        <w:rFonts w:hint="eastAsia" w:ascii="宋体" w:hAnsi="宋体"/>
      </w:rPr>
      <w:t>第</w:t>
    </w:r>
    <w:r>
      <w:rPr>
        <w:rFonts w:ascii="宋体" w:hAnsi="宋体"/>
      </w:rPr>
      <w:fldChar w:fldCharType="begin"/>
    </w:r>
    <w:r>
      <w:rPr>
        <w:rStyle w:val="28"/>
        <w:rFonts w:ascii="宋体" w:hAnsi="宋体"/>
      </w:rPr>
      <w:instrText xml:space="preserve"> PAGE </w:instrText>
    </w:r>
    <w:r>
      <w:rPr>
        <w:rFonts w:ascii="宋体" w:hAnsi="宋体"/>
      </w:rPr>
      <w:fldChar w:fldCharType="separate"/>
    </w:r>
    <w:r>
      <w:rPr>
        <w:rStyle w:val="28"/>
        <w:rFonts w:ascii="宋体" w:hAnsi="宋体"/>
      </w:rPr>
      <w:t>72</w:t>
    </w:r>
    <w:r>
      <w:rPr>
        <w:rFonts w:ascii="宋体" w:hAnsi="宋体"/>
      </w:rPr>
      <w:fldChar w:fldCharType="end"/>
    </w:r>
    <w:r>
      <w:rPr>
        <w:rStyle w:val="28"/>
        <w:rFonts w:hint="eastAsia" w:ascii="宋体" w:hAnsi="宋体"/>
      </w:rPr>
      <w:t>页，共</w:t>
    </w:r>
    <w:r>
      <w:rPr>
        <w:rFonts w:ascii="宋体" w:hAnsi="宋体"/>
      </w:rPr>
      <w:fldChar w:fldCharType="begin"/>
    </w:r>
    <w:r>
      <w:rPr>
        <w:rStyle w:val="28"/>
        <w:rFonts w:ascii="宋体" w:hAnsi="宋体"/>
      </w:rPr>
      <w:instrText xml:space="preserve"> NUMPAGES </w:instrText>
    </w:r>
    <w:r>
      <w:rPr>
        <w:rFonts w:ascii="宋体" w:hAnsi="宋体"/>
      </w:rPr>
      <w:fldChar w:fldCharType="separate"/>
    </w:r>
    <w:r>
      <w:rPr>
        <w:rStyle w:val="28"/>
        <w:rFonts w:ascii="宋体" w:hAnsi="宋体"/>
      </w:rPr>
      <w:t>98</w:t>
    </w:r>
    <w:r>
      <w:rPr>
        <w:rFonts w:ascii="宋体" w:hAnsi="宋体"/>
      </w:rPr>
      <w:fldChar w:fldCharType="end"/>
    </w:r>
    <w:r>
      <w:rPr>
        <w:rStyle w:val="28"/>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FEEF">
    <w:pPr>
      <w:pStyle w:val="16"/>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7A3EB413">
    <w:pPr>
      <w:pStyle w:val="1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72EA">
    <w:pPr>
      <w:pStyle w:val="16"/>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C21B">
    <w:pPr>
      <w:pStyle w:val="16"/>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80</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A5AB">
    <w:pPr>
      <w:pStyle w:val="16"/>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44134CFE">
    <w:pPr>
      <w:pStyle w:val="16"/>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5572">
    <w:pPr>
      <w:pStyle w:val="16"/>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54F6F472">
    <w:pPr>
      <w:pStyle w:val="16"/>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CEA6">
    <w:pPr>
      <w:pStyle w:val="16"/>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29C4FF40">
    <w:pPr>
      <w:pStyle w:val="16"/>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837E">
    <w:pPr>
      <w:pStyle w:val="16"/>
      <w:rPr>
        <w:rFonts w:hint="eastAsia" w:ascii="宋体" w:hAnsi="宋体"/>
      </w:rPr>
    </w:pPr>
    <w:r>
      <w:rPr>
        <w:rFonts w:hint="eastAsia"/>
      </w:rPr>
      <w:t xml:space="preserve">                                             </w:t>
    </w:r>
    <w:r>
      <w:rPr>
        <w:rFonts w:hint="eastAsia" w:ascii="宋体" w:hAnsi="宋体"/>
      </w:rPr>
      <w:t xml:space="preserve">                             </w:t>
    </w:r>
    <w:r>
      <w:rPr>
        <w:rStyle w:val="28"/>
        <w:rFonts w:hint="eastAsia" w:ascii="宋体" w:hAnsi="宋体"/>
      </w:rPr>
      <w:t>第</w:t>
    </w:r>
    <w:r>
      <w:rPr>
        <w:rFonts w:ascii="宋体" w:hAnsi="宋体"/>
      </w:rPr>
      <w:fldChar w:fldCharType="begin"/>
    </w:r>
    <w:r>
      <w:rPr>
        <w:rStyle w:val="28"/>
        <w:rFonts w:ascii="宋体" w:hAnsi="宋体"/>
      </w:rPr>
      <w:instrText xml:space="preserve"> PAGE </w:instrText>
    </w:r>
    <w:r>
      <w:rPr>
        <w:rFonts w:ascii="宋体" w:hAnsi="宋体"/>
      </w:rPr>
      <w:fldChar w:fldCharType="separate"/>
    </w:r>
    <w:r>
      <w:rPr>
        <w:rStyle w:val="28"/>
        <w:rFonts w:ascii="宋体" w:hAnsi="宋体"/>
      </w:rPr>
      <w:t>69</w:t>
    </w:r>
    <w:r>
      <w:rPr>
        <w:rFonts w:ascii="宋体" w:hAnsi="宋体"/>
      </w:rPr>
      <w:fldChar w:fldCharType="end"/>
    </w:r>
    <w:r>
      <w:rPr>
        <w:rStyle w:val="28"/>
        <w:rFonts w:hint="eastAsia" w:ascii="宋体" w:hAnsi="宋体"/>
      </w:rPr>
      <w:t>页，共</w:t>
    </w:r>
    <w:r>
      <w:rPr>
        <w:rFonts w:ascii="宋体" w:hAnsi="宋体"/>
      </w:rPr>
      <w:fldChar w:fldCharType="begin"/>
    </w:r>
    <w:r>
      <w:rPr>
        <w:rStyle w:val="28"/>
        <w:rFonts w:ascii="宋体" w:hAnsi="宋体"/>
      </w:rPr>
      <w:instrText xml:space="preserve"> NUMPAGES </w:instrText>
    </w:r>
    <w:r>
      <w:rPr>
        <w:rFonts w:ascii="宋体" w:hAnsi="宋体"/>
      </w:rPr>
      <w:fldChar w:fldCharType="separate"/>
    </w:r>
    <w:r>
      <w:rPr>
        <w:rStyle w:val="28"/>
        <w:rFonts w:ascii="宋体" w:hAnsi="宋体"/>
      </w:rPr>
      <w:t>98</w:t>
    </w:r>
    <w:r>
      <w:rPr>
        <w:rFonts w:ascii="宋体" w:hAnsi="宋体"/>
      </w:rPr>
      <w:fldChar w:fldCharType="end"/>
    </w:r>
    <w:r>
      <w:rPr>
        <w:rStyle w:val="28"/>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C2FA">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DD95">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16B3">
    <w:pPr>
      <w:pStyle w:val="16"/>
      <w:rPr>
        <w:rFonts w:hint="eastAsia" w:ascii="宋体" w:hAnsi="宋体"/>
      </w:rPr>
    </w:pPr>
    <w:r>
      <w:rPr>
        <w:rFonts w:hint="eastAsia"/>
      </w:rPr>
      <w:t xml:space="preserve">                                      </w:t>
    </w:r>
    <w:r>
      <w:rPr>
        <w:rFonts w:hint="eastAsia" w:ascii="宋体" w:hAnsi="宋体"/>
      </w:rPr>
      <w:t xml:space="preserve"> </w:t>
    </w:r>
    <w:r>
      <w:rPr>
        <w:rStyle w:val="28"/>
        <w:rFonts w:hint="eastAsia" w:ascii="宋体" w:hAnsi="宋体"/>
      </w:rPr>
      <w:t>第</w:t>
    </w:r>
    <w:r>
      <w:rPr>
        <w:rFonts w:ascii="宋体" w:hAnsi="宋体"/>
      </w:rPr>
      <w:fldChar w:fldCharType="begin"/>
    </w:r>
    <w:r>
      <w:rPr>
        <w:rStyle w:val="28"/>
        <w:rFonts w:ascii="宋体" w:hAnsi="宋体"/>
      </w:rPr>
      <w:instrText xml:space="preserve"> PAGE </w:instrText>
    </w:r>
    <w:r>
      <w:rPr>
        <w:rFonts w:ascii="宋体" w:hAnsi="宋体"/>
      </w:rPr>
      <w:fldChar w:fldCharType="separate"/>
    </w:r>
    <w:r>
      <w:rPr>
        <w:rStyle w:val="28"/>
        <w:rFonts w:ascii="宋体" w:hAnsi="宋体"/>
      </w:rPr>
      <w:t>70</w:t>
    </w:r>
    <w:r>
      <w:rPr>
        <w:rFonts w:ascii="宋体" w:hAnsi="宋体"/>
      </w:rPr>
      <w:fldChar w:fldCharType="end"/>
    </w:r>
    <w:r>
      <w:rPr>
        <w:rStyle w:val="28"/>
        <w:rFonts w:hint="eastAsia" w:ascii="宋体" w:hAnsi="宋体"/>
      </w:rPr>
      <w:t>页，共</w:t>
    </w:r>
    <w:r>
      <w:rPr>
        <w:rFonts w:ascii="宋体" w:hAnsi="宋体"/>
      </w:rPr>
      <w:fldChar w:fldCharType="begin"/>
    </w:r>
    <w:r>
      <w:rPr>
        <w:rStyle w:val="28"/>
        <w:rFonts w:ascii="宋体" w:hAnsi="宋体"/>
      </w:rPr>
      <w:instrText xml:space="preserve"> NUMPAGES </w:instrText>
    </w:r>
    <w:r>
      <w:rPr>
        <w:rFonts w:ascii="宋体" w:hAnsi="宋体"/>
      </w:rPr>
      <w:fldChar w:fldCharType="separate"/>
    </w:r>
    <w:r>
      <w:rPr>
        <w:rStyle w:val="28"/>
        <w:rFonts w:ascii="宋体" w:hAnsi="宋体"/>
      </w:rPr>
      <w:t>98</w:t>
    </w:r>
    <w:r>
      <w:rPr>
        <w:rFonts w:ascii="宋体" w:hAnsi="宋体"/>
      </w:rPr>
      <w:fldChar w:fldCharType="end"/>
    </w:r>
    <w:r>
      <w:rPr>
        <w:rStyle w:val="28"/>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4FD3">
    <w:pPr>
      <w:pStyle w:val="17"/>
      <w:pBdr>
        <w:bottom w:val="single" w:color="auto" w:sz="6" w:space="0"/>
      </w:pBdr>
      <w:jc w:val="both"/>
      <w:rPr>
        <w:rFonts w:hint="eastAsia"/>
        <w:sz w:val="21"/>
        <w:szCs w:val="21"/>
      </w:rPr>
    </w:pPr>
    <w:r>
      <w:rPr>
        <w:rFonts w:hint="eastAsia"/>
        <w:sz w:val="21"/>
        <w:szCs w:val="21"/>
      </w:rP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7EB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28FE">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F01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701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WU5YzdjOTFkYTg0NWQxNDU0ZGM2NTM5MDA2MDkifQ=="/>
  </w:docVars>
  <w:rsids>
    <w:rsidRoot w:val="00826F6A"/>
    <w:rsid w:val="00004FCA"/>
    <w:rsid w:val="00015427"/>
    <w:rsid w:val="000303E7"/>
    <w:rsid w:val="00030994"/>
    <w:rsid w:val="00031ECA"/>
    <w:rsid w:val="000403E2"/>
    <w:rsid w:val="000456D2"/>
    <w:rsid w:val="00053914"/>
    <w:rsid w:val="00056ED7"/>
    <w:rsid w:val="00060F40"/>
    <w:rsid w:val="000708B5"/>
    <w:rsid w:val="000732C5"/>
    <w:rsid w:val="0008387C"/>
    <w:rsid w:val="00087CED"/>
    <w:rsid w:val="00093A34"/>
    <w:rsid w:val="00093FB5"/>
    <w:rsid w:val="000971CF"/>
    <w:rsid w:val="000A6A06"/>
    <w:rsid w:val="000B5B34"/>
    <w:rsid w:val="000D3F6B"/>
    <w:rsid w:val="000D4732"/>
    <w:rsid w:val="000E4EAA"/>
    <w:rsid w:val="000E5F6A"/>
    <w:rsid w:val="000E6E11"/>
    <w:rsid w:val="000F5947"/>
    <w:rsid w:val="00107D2E"/>
    <w:rsid w:val="00115B27"/>
    <w:rsid w:val="001223B6"/>
    <w:rsid w:val="00122916"/>
    <w:rsid w:val="00124A71"/>
    <w:rsid w:val="00145FCA"/>
    <w:rsid w:val="0015486C"/>
    <w:rsid w:val="00163270"/>
    <w:rsid w:val="00181B2F"/>
    <w:rsid w:val="00190133"/>
    <w:rsid w:val="001925BC"/>
    <w:rsid w:val="00192AE6"/>
    <w:rsid w:val="001A052C"/>
    <w:rsid w:val="001B3193"/>
    <w:rsid w:val="001B3E4B"/>
    <w:rsid w:val="001B5DC4"/>
    <w:rsid w:val="001C6BDD"/>
    <w:rsid w:val="001D2B9A"/>
    <w:rsid w:val="001E32E9"/>
    <w:rsid w:val="001E4519"/>
    <w:rsid w:val="001E4D79"/>
    <w:rsid w:val="001F0EF0"/>
    <w:rsid w:val="00202C4E"/>
    <w:rsid w:val="00203852"/>
    <w:rsid w:val="00204031"/>
    <w:rsid w:val="00205C5B"/>
    <w:rsid w:val="00205F5C"/>
    <w:rsid w:val="00207852"/>
    <w:rsid w:val="00217737"/>
    <w:rsid w:val="00220A7A"/>
    <w:rsid w:val="002411A2"/>
    <w:rsid w:val="00241AF9"/>
    <w:rsid w:val="00253179"/>
    <w:rsid w:val="00262CC0"/>
    <w:rsid w:val="00265E22"/>
    <w:rsid w:val="00276A73"/>
    <w:rsid w:val="00293316"/>
    <w:rsid w:val="002A14ED"/>
    <w:rsid w:val="002A33AE"/>
    <w:rsid w:val="002A7CD3"/>
    <w:rsid w:val="002B70FF"/>
    <w:rsid w:val="002C61F7"/>
    <w:rsid w:val="002D5FD0"/>
    <w:rsid w:val="002D6E9E"/>
    <w:rsid w:val="002D6F42"/>
    <w:rsid w:val="002E15EC"/>
    <w:rsid w:val="002F23EA"/>
    <w:rsid w:val="002F2695"/>
    <w:rsid w:val="0031495C"/>
    <w:rsid w:val="003229E2"/>
    <w:rsid w:val="003243BD"/>
    <w:rsid w:val="00324F97"/>
    <w:rsid w:val="00326994"/>
    <w:rsid w:val="00330CEB"/>
    <w:rsid w:val="00336DE3"/>
    <w:rsid w:val="00347D7C"/>
    <w:rsid w:val="003522CC"/>
    <w:rsid w:val="00357F47"/>
    <w:rsid w:val="00365811"/>
    <w:rsid w:val="00374BCF"/>
    <w:rsid w:val="0039585F"/>
    <w:rsid w:val="003A697E"/>
    <w:rsid w:val="003B0A79"/>
    <w:rsid w:val="003B700D"/>
    <w:rsid w:val="003D03FA"/>
    <w:rsid w:val="003D3508"/>
    <w:rsid w:val="003D6656"/>
    <w:rsid w:val="003E3AF8"/>
    <w:rsid w:val="003E3E98"/>
    <w:rsid w:val="003E71FD"/>
    <w:rsid w:val="003E785B"/>
    <w:rsid w:val="003F2644"/>
    <w:rsid w:val="00411025"/>
    <w:rsid w:val="00425A1B"/>
    <w:rsid w:val="00425F1A"/>
    <w:rsid w:val="004277C9"/>
    <w:rsid w:val="00435F2D"/>
    <w:rsid w:val="00437B3B"/>
    <w:rsid w:val="00451ADF"/>
    <w:rsid w:val="00463346"/>
    <w:rsid w:val="00470C89"/>
    <w:rsid w:val="0047523A"/>
    <w:rsid w:val="0047611A"/>
    <w:rsid w:val="004778EE"/>
    <w:rsid w:val="0049507E"/>
    <w:rsid w:val="004965A1"/>
    <w:rsid w:val="004A198A"/>
    <w:rsid w:val="004B4025"/>
    <w:rsid w:val="004B4FB9"/>
    <w:rsid w:val="004B7C99"/>
    <w:rsid w:val="004C164D"/>
    <w:rsid w:val="004D263D"/>
    <w:rsid w:val="004D4AEB"/>
    <w:rsid w:val="004D7F72"/>
    <w:rsid w:val="004E1F46"/>
    <w:rsid w:val="004E2A94"/>
    <w:rsid w:val="004E2B1D"/>
    <w:rsid w:val="004E2C29"/>
    <w:rsid w:val="005027EF"/>
    <w:rsid w:val="00502A8A"/>
    <w:rsid w:val="005068A1"/>
    <w:rsid w:val="00512ADA"/>
    <w:rsid w:val="00513323"/>
    <w:rsid w:val="005240C0"/>
    <w:rsid w:val="005365C6"/>
    <w:rsid w:val="005422CA"/>
    <w:rsid w:val="00543E58"/>
    <w:rsid w:val="00544C14"/>
    <w:rsid w:val="0055097B"/>
    <w:rsid w:val="005A00D1"/>
    <w:rsid w:val="005C320D"/>
    <w:rsid w:val="005C434E"/>
    <w:rsid w:val="005D12BE"/>
    <w:rsid w:val="005D4CFF"/>
    <w:rsid w:val="005E1736"/>
    <w:rsid w:val="005E5C49"/>
    <w:rsid w:val="005E5E98"/>
    <w:rsid w:val="005F22B7"/>
    <w:rsid w:val="005F2F27"/>
    <w:rsid w:val="00620D7A"/>
    <w:rsid w:val="00627D6E"/>
    <w:rsid w:val="00640F54"/>
    <w:rsid w:val="0065099D"/>
    <w:rsid w:val="00650FB3"/>
    <w:rsid w:val="00660C4C"/>
    <w:rsid w:val="00661B6C"/>
    <w:rsid w:val="00674EBA"/>
    <w:rsid w:val="00676FCA"/>
    <w:rsid w:val="006805FD"/>
    <w:rsid w:val="006918AC"/>
    <w:rsid w:val="006945EC"/>
    <w:rsid w:val="006975F4"/>
    <w:rsid w:val="006A3B17"/>
    <w:rsid w:val="006C64C3"/>
    <w:rsid w:val="006D2A09"/>
    <w:rsid w:val="006E11B4"/>
    <w:rsid w:val="006E33E6"/>
    <w:rsid w:val="006F6078"/>
    <w:rsid w:val="00700C10"/>
    <w:rsid w:val="007078FA"/>
    <w:rsid w:val="00722957"/>
    <w:rsid w:val="00727FAC"/>
    <w:rsid w:val="0073194D"/>
    <w:rsid w:val="00731F66"/>
    <w:rsid w:val="00734448"/>
    <w:rsid w:val="0074451D"/>
    <w:rsid w:val="00753CEC"/>
    <w:rsid w:val="00756B3E"/>
    <w:rsid w:val="007632B1"/>
    <w:rsid w:val="00764841"/>
    <w:rsid w:val="00772E08"/>
    <w:rsid w:val="00776A41"/>
    <w:rsid w:val="00785E91"/>
    <w:rsid w:val="00786C5B"/>
    <w:rsid w:val="00787DAA"/>
    <w:rsid w:val="007B0E13"/>
    <w:rsid w:val="007C47C7"/>
    <w:rsid w:val="007D5A5C"/>
    <w:rsid w:val="007D77AC"/>
    <w:rsid w:val="007F64F1"/>
    <w:rsid w:val="00820914"/>
    <w:rsid w:val="00825F94"/>
    <w:rsid w:val="00826F6A"/>
    <w:rsid w:val="0083339A"/>
    <w:rsid w:val="00851D28"/>
    <w:rsid w:val="008618EB"/>
    <w:rsid w:val="00867879"/>
    <w:rsid w:val="00874F39"/>
    <w:rsid w:val="00874F3E"/>
    <w:rsid w:val="00886F15"/>
    <w:rsid w:val="008B1404"/>
    <w:rsid w:val="008B6210"/>
    <w:rsid w:val="008D14FB"/>
    <w:rsid w:val="008D4306"/>
    <w:rsid w:val="008D79B9"/>
    <w:rsid w:val="008F099B"/>
    <w:rsid w:val="008F3D42"/>
    <w:rsid w:val="008F5E94"/>
    <w:rsid w:val="008F6D69"/>
    <w:rsid w:val="00925F1F"/>
    <w:rsid w:val="0093137A"/>
    <w:rsid w:val="009355AC"/>
    <w:rsid w:val="0093729D"/>
    <w:rsid w:val="00947285"/>
    <w:rsid w:val="009565BD"/>
    <w:rsid w:val="009571A8"/>
    <w:rsid w:val="00962A88"/>
    <w:rsid w:val="00964D71"/>
    <w:rsid w:val="009659F9"/>
    <w:rsid w:val="00965B65"/>
    <w:rsid w:val="00971EFA"/>
    <w:rsid w:val="009732B8"/>
    <w:rsid w:val="00987747"/>
    <w:rsid w:val="00992043"/>
    <w:rsid w:val="009968C1"/>
    <w:rsid w:val="00997AA5"/>
    <w:rsid w:val="009A6E5B"/>
    <w:rsid w:val="009C734F"/>
    <w:rsid w:val="009D3351"/>
    <w:rsid w:val="009F7246"/>
    <w:rsid w:val="00A175CF"/>
    <w:rsid w:val="00A22F3F"/>
    <w:rsid w:val="00A25FE5"/>
    <w:rsid w:val="00A327B8"/>
    <w:rsid w:val="00A43E9B"/>
    <w:rsid w:val="00A5347E"/>
    <w:rsid w:val="00A63B74"/>
    <w:rsid w:val="00A774EB"/>
    <w:rsid w:val="00A838F7"/>
    <w:rsid w:val="00A85A62"/>
    <w:rsid w:val="00A929ED"/>
    <w:rsid w:val="00A95CF9"/>
    <w:rsid w:val="00A9639B"/>
    <w:rsid w:val="00AA4AC1"/>
    <w:rsid w:val="00AA7D4D"/>
    <w:rsid w:val="00AB10D3"/>
    <w:rsid w:val="00AB5A0E"/>
    <w:rsid w:val="00AB5A3C"/>
    <w:rsid w:val="00AD32AF"/>
    <w:rsid w:val="00AE25EE"/>
    <w:rsid w:val="00AE2ED6"/>
    <w:rsid w:val="00B0289E"/>
    <w:rsid w:val="00B074E1"/>
    <w:rsid w:val="00B17B7B"/>
    <w:rsid w:val="00B21E9C"/>
    <w:rsid w:val="00B2533C"/>
    <w:rsid w:val="00B25422"/>
    <w:rsid w:val="00B40EE1"/>
    <w:rsid w:val="00B45CAF"/>
    <w:rsid w:val="00B57896"/>
    <w:rsid w:val="00B631A6"/>
    <w:rsid w:val="00B6324D"/>
    <w:rsid w:val="00B644AC"/>
    <w:rsid w:val="00B65A20"/>
    <w:rsid w:val="00B673BF"/>
    <w:rsid w:val="00B92D0F"/>
    <w:rsid w:val="00BA0EAD"/>
    <w:rsid w:val="00BA1A55"/>
    <w:rsid w:val="00BA20E7"/>
    <w:rsid w:val="00BA2EEE"/>
    <w:rsid w:val="00BA7359"/>
    <w:rsid w:val="00BE2089"/>
    <w:rsid w:val="00BF0F4C"/>
    <w:rsid w:val="00BF1DC6"/>
    <w:rsid w:val="00BF431E"/>
    <w:rsid w:val="00C01E29"/>
    <w:rsid w:val="00C05341"/>
    <w:rsid w:val="00C420BD"/>
    <w:rsid w:val="00C43A93"/>
    <w:rsid w:val="00C652A1"/>
    <w:rsid w:val="00C70D1E"/>
    <w:rsid w:val="00C76E0E"/>
    <w:rsid w:val="00C778BA"/>
    <w:rsid w:val="00C93476"/>
    <w:rsid w:val="00C9764E"/>
    <w:rsid w:val="00CA0CF0"/>
    <w:rsid w:val="00CB724C"/>
    <w:rsid w:val="00CC000A"/>
    <w:rsid w:val="00CC0E8A"/>
    <w:rsid w:val="00CC1CE5"/>
    <w:rsid w:val="00CC2EF9"/>
    <w:rsid w:val="00CC2F92"/>
    <w:rsid w:val="00CD2332"/>
    <w:rsid w:val="00CD589C"/>
    <w:rsid w:val="00CE61EE"/>
    <w:rsid w:val="00CE7A27"/>
    <w:rsid w:val="00CF094E"/>
    <w:rsid w:val="00CF67E4"/>
    <w:rsid w:val="00CF7C23"/>
    <w:rsid w:val="00D139DC"/>
    <w:rsid w:val="00D14B11"/>
    <w:rsid w:val="00D20238"/>
    <w:rsid w:val="00D20B4D"/>
    <w:rsid w:val="00D232E5"/>
    <w:rsid w:val="00D23474"/>
    <w:rsid w:val="00D26177"/>
    <w:rsid w:val="00D26CD8"/>
    <w:rsid w:val="00D36F98"/>
    <w:rsid w:val="00D401C3"/>
    <w:rsid w:val="00D43D9E"/>
    <w:rsid w:val="00D5063D"/>
    <w:rsid w:val="00D529EE"/>
    <w:rsid w:val="00D56EFD"/>
    <w:rsid w:val="00D7074A"/>
    <w:rsid w:val="00D74422"/>
    <w:rsid w:val="00DA2D75"/>
    <w:rsid w:val="00DB525D"/>
    <w:rsid w:val="00DC2203"/>
    <w:rsid w:val="00DC5C1F"/>
    <w:rsid w:val="00DD0D5E"/>
    <w:rsid w:val="00DD7997"/>
    <w:rsid w:val="00DE008E"/>
    <w:rsid w:val="00E148FF"/>
    <w:rsid w:val="00E25247"/>
    <w:rsid w:val="00E34527"/>
    <w:rsid w:val="00E4442C"/>
    <w:rsid w:val="00E514AA"/>
    <w:rsid w:val="00E6702C"/>
    <w:rsid w:val="00E7762F"/>
    <w:rsid w:val="00E80370"/>
    <w:rsid w:val="00E80B7C"/>
    <w:rsid w:val="00E9294C"/>
    <w:rsid w:val="00E93162"/>
    <w:rsid w:val="00EA1A54"/>
    <w:rsid w:val="00EB2468"/>
    <w:rsid w:val="00EB4AEE"/>
    <w:rsid w:val="00EC3715"/>
    <w:rsid w:val="00ED0F4F"/>
    <w:rsid w:val="00ED38F5"/>
    <w:rsid w:val="00EF2C49"/>
    <w:rsid w:val="00F11077"/>
    <w:rsid w:val="00F12130"/>
    <w:rsid w:val="00F14343"/>
    <w:rsid w:val="00F15452"/>
    <w:rsid w:val="00F245BF"/>
    <w:rsid w:val="00F25D88"/>
    <w:rsid w:val="00F32EBD"/>
    <w:rsid w:val="00F34C9F"/>
    <w:rsid w:val="00F44F67"/>
    <w:rsid w:val="00F67591"/>
    <w:rsid w:val="00F705F5"/>
    <w:rsid w:val="00F74E64"/>
    <w:rsid w:val="00F75021"/>
    <w:rsid w:val="00F82DBB"/>
    <w:rsid w:val="00F91044"/>
    <w:rsid w:val="00F92FF7"/>
    <w:rsid w:val="00FA1AAE"/>
    <w:rsid w:val="00FA50F4"/>
    <w:rsid w:val="00FA6CE3"/>
    <w:rsid w:val="00FC0838"/>
    <w:rsid w:val="00FC5347"/>
    <w:rsid w:val="00FE357D"/>
    <w:rsid w:val="00FE446B"/>
    <w:rsid w:val="00FE6474"/>
    <w:rsid w:val="00FE707B"/>
    <w:rsid w:val="00FF57CB"/>
    <w:rsid w:val="010A29DC"/>
    <w:rsid w:val="01170C55"/>
    <w:rsid w:val="013E2686"/>
    <w:rsid w:val="014918BB"/>
    <w:rsid w:val="01A7022B"/>
    <w:rsid w:val="01F36FCC"/>
    <w:rsid w:val="02C16C5D"/>
    <w:rsid w:val="02FE20CD"/>
    <w:rsid w:val="031713E0"/>
    <w:rsid w:val="035C329F"/>
    <w:rsid w:val="03C07382"/>
    <w:rsid w:val="03C926DB"/>
    <w:rsid w:val="04073203"/>
    <w:rsid w:val="042B5143"/>
    <w:rsid w:val="04536448"/>
    <w:rsid w:val="048052C8"/>
    <w:rsid w:val="049525BD"/>
    <w:rsid w:val="049F168E"/>
    <w:rsid w:val="04A3117E"/>
    <w:rsid w:val="04A46CA4"/>
    <w:rsid w:val="05017C52"/>
    <w:rsid w:val="05300538"/>
    <w:rsid w:val="0580501B"/>
    <w:rsid w:val="05A625A8"/>
    <w:rsid w:val="05AD1B88"/>
    <w:rsid w:val="05D37841"/>
    <w:rsid w:val="063F6C84"/>
    <w:rsid w:val="06622973"/>
    <w:rsid w:val="066B787A"/>
    <w:rsid w:val="068E3768"/>
    <w:rsid w:val="06A411DD"/>
    <w:rsid w:val="06A92350"/>
    <w:rsid w:val="06BC6527"/>
    <w:rsid w:val="074A1D85"/>
    <w:rsid w:val="077A3CEC"/>
    <w:rsid w:val="078F7797"/>
    <w:rsid w:val="07F12788"/>
    <w:rsid w:val="080D690E"/>
    <w:rsid w:val="08306419"/>
    <w:rsid w:val="0845254C"/>
    <w:rsid w:val="086773D8"/>
    <w:rsid w:val="0898267C"/>
    <w:rsid w:val="08BF22FE"/>
    <w:rsid w:val="08E73603"/>
    <w:rsid w:val="09016473"/>
    <w:rsid w:val="09047D11"/>
    <w:rsid w:val="09060CCF"/>
    <w:rsid w:val="09181A0E"/>
    <w:rsid w:val="0972111F"/>
    <w:rsid w:val="098A1A3B"/>
    <w:rsid w:val="09CD45A7"/>
    <w:rsid w:val="09DC2A3C"/>
    <w:rsid w:val="0A0855DF"/>
    <w:rsid w:val="0A0F4BBF"/>
    <w:rsid w:val="0A232419"/>
    <w:rsid w:val="0A310FDA"/>
    <w:rsid w:val="0A541AB8"/>
    <w:rsid w:val="0A5C789C"/>
    <w:rsid w:val="0AAC240E"/>
    <w:rsid w:val="0ABA2D7D"/>
    <w:rsid w:val="0AC11AFE"/>
    <w:rsid w:val="0B41524D"/>
    <w:rsid w:val="0B802FC0"/>
    <w:rsid w:val="0BA17A99"/>
    <w:rsid w:val="0BA47589"/>
    <w:rsid w:val="0BBA4FFF"/>
    <w:rsid w:val="0BC83278"/>
    <w:rsid w:val="0BEF4CA9"/>
    <w:rsid w:val="0C144165"/>
    <w:rsid w:val="0C9D4705"/>
    <w:rsid w:val="0CAA0BCF"/>
    <w:rsid w:val="0DA970D9"/>
    <w:rsid w:val="0DBC6E0C"/>
    <w:rsid w:val="0DC27718"/>
    <w:rsid w:val="0DE95727"/>
    <w:rsid w:val="0E1A1D85"/>
    <w:rsid w:val="0E7C659C"/>
    <w:rsid w:val="0E7E6974"/>
    <w:rsid w:val="0EAC0C2F"/>
    <w:rsid w:val="0EC419EA"/>
    <w:rsid w:val="0F022F45"/>
    <w:rsid w:val="0F040A6B"/>
    <w:rsid w:val="0F707EAE"/>
    <w:rsid w:val="0F9A6240"/>
    <w:rsid w:val="0F9D2C6D"/>
    <w:rsid w:val="0FFB6A79"/>
    <w:rsid w:val="100D394F"/>
    <w:rsid w:val="103E3735"/>
    <w:rsid w:val="104906FF"/>
    <w:rsid w:val="104F21BA"/>
    <w:rsid w:val="109202F8"/>
    <w:rsid w:val="109D79DE"/>
    <w:rsid w:val="10A1053B"/>
    <w:rsid w:val="10CF6E57"/>
    <w:rsid w:val="11513D10"/>
    <w:rsid w:val="115E01DA"/>
    <w:rsid w:val="119C25A1"/>
    <w:rsid w:val="1218482D"/>
    <w:rsid w:val="124473D0"/>
    <w:rsid w:val="127A7296"/>
    <w:rsid w:val="12D1335A"/>
    <w:rsid w:val="131274CE"/>
    <w:rsid w:val="134358DA"/>
    <w:rsid w:val="134E49AB"/>
    <w:rsid w:val="136046DE"/>
    <w:rsid w:val="13645F7C"/>
    <w:rsid w:val="136C6BDF"/>
    <w:rsid w:val="13B011C1"/>
    <w:rsid w:val="14092680"/>
    <w:rsid w:val="142E658A"/>
    <w:rsid w:val="14411E19"/>
    <w:rsid w:val="14641FAC"/>
    <w:rsid w:val="147F6DE6"/>
    <w:rsid w:val="14975EDD"/>
    <w:rsid w:val="15826B8D"/>
    <w:rsid w:val="15883A78"/>
    <w:rsid w:val="158E5532"/>
    <w:rsid w:val="15D171CD"/>
    <w:rsid w:val="162714E3"/>
    <w:rsid w:val="163971C4"/>
    <w:rsid w:val="163C10BE"/>
    <w:rsid w:val="16591BE3"/>
    <w:rsid w:val="16646293"/>
    <w:rsid w:val="166B13D0"/>
    <w:rsid w:val="16AD19E8"/>
    <w:rsid w:val="16B32D77"/>
    <w:rsid w:val="16EB0762"/>
    <w:rsid w:val="16EB2510"/>
    <w:rsid w:val="16F615E1"/>
    <w:rsid w:val="17286F88"/>
    <w:rsid w:val="177E2BD8"/>
    <w:rsid w:val="179C380B"/>
    <w:rsid w:val="17C4348D"/>
    <w:rsid w:val="18300B23"/>
    <w:rsid w:val="184E0FA9"/>
    <w:rsid w:val="18A40BC9"/>
    <w:rsid w:val="18A60DE5"/>
    <w:rsid w:val="18EA6F23"/>
    <w:rsid w:val="192B12EA"/>
    <w:rsid w:val="19341F4D"/>
    <w:rsid w:val="19566367"/>
    <w:rsid w:val="195E6FCA"/>
    <w:rsid w:val="1A4E1EA1"/>
    <w:rsid w:val="1A7A42D7"/>
    <w:rsid w:val="1A91517D"/>
    <w:rsid w:val="1A9B5FFB"/>
    <w:rsid w:val="1AB31597"/>
    <w:rsid w:val="1AC217DA"/>
    <w:rsid w:val="1B5E7755"/>
    <w:rsid w:val="1B6F54BE"/>
    <w:rsid w:val="1B740D26"/>
    <w:rsid w:val="1BC05D1A"/>
    <w:rsid w:val="1BC53330"/>
    <w:rsid w:val="1C0E117B"/>
    <w:rsid w:val="1C4B51AA"/>
    <w:rsid w:val="1C632B49"/>
    <w:rsid w:val="1CDF0421"/>
    <w:rsid w:val="1CE93ADB"/>
    <w:rsid w:val="1D2B2547"/>
    <w:rsid w:val="1D303373"/>
    <w:rsid w:val="1D8D4321"/>
    <w:rsid w:val="1DB21FDA"/>
    <w:rsid w:val="1DF3627A"/>
    <w:rsid w:val="1E0D7210"/>
    <w:rsid w:val="1E3173A3"/>
    <w:rsid w:val="1E672DC4"/>
    <w:rsid w:val="1EBB4EBE"/>
    <w:rsid w:val="1ED41ADC"/>
    <w:rsid w:val="1F647304"/>
    <w:rsid w:val="1F705CA9"/>
    <w:rsid w:val="1FC25500"/>
    <w:rsid w:val="200308CB"/>
    <w:rsid w:val="20052895"/>
    <w:rsid w:val="20401B1F"/>
    <w:rsid w:val="20653333"/>
    <w:rsid w:val="206D3F96"/>
    <w:rsid w:val="20825C93"/>
    <w:rsid w:val="209634ED"/>
    <w:rsid w:val="20967991"/>
    <w:rsid w:val="20BE2A44"/>
    <w:rsid w:val="20FF72E4"/>
    <w:rsid w:val="21076199"/>
    <w:rsid w:val="210E39CB"/>
    <w:rsid w:val="21131C7E"/>
    <w:rsid w:val="21380A48"/>
    <w:rsid w:val="214B42D7"/>
    <w:rsid w:val="217F21D3"/>
    <w:rsid w:val="21C347B6"/>
    <w:rsid w:val="21DB72EE"/>
    <w:rsid w:val="21F42BC1"/>
    <w:rsid w:val="21FE134A"/>
    <w:rsid w:val="225B49EE"/>
    <w:rsid w:val="22885EAF"/>
    <w:rsid w:val="22B1460E"/>
    <w:rsid w:val="22B97967"/>
    <w:rsid w:val="22DB5B2F"/>
    <w:rsid w:val="22F664C5"/>
    <w:rsid w:val="23264FFC"/>
    <w:rsid w:val="232C0139"/>
    <w:rsid w:val="23C2284B"/>
    <w:rsid w:val="23EA427B"/>
    <w:rsid w:val="23F21382"/>
    <w:rsid w:val="23FC3FAF"/>
    <w:rsid w:val="24264B88"/>
    <w:rsid w:val="24294678"/>
    <w:rsid w:val="243472A5"/>
    <w:rsid w:val="24457704"/>
    <w:rsid w:val="24A53AE2"/>
    <w:rsid w:val="24C73019"/>
    <w:rsid w:val="250255F5"/>
    <w:rsid w:val="250A26FB"/>
    <w:rsid w:val="25113A8A"/>
    <w:rsid w:val="252F5CBE"/>
    <w:rsid w:val="255B466D"/>
    <w:rsid w:val="25D074A1"/>
    <w:rsid w:val="25D23E54"/>
    <w:rsid w:val="25E60A73"/>
    <w:rsid w:val="25EB6089"/>
    <w:rsid w:val="25ED0053"/>
    <w:rsid w:val="25F767DC"/>
    <w:rsid w:val="2621594F"/>
    <w:rsid w:val="268D1FE2"/>
    <w:rsid w:val="26DC3C24"/>
    <w:rsid w:val="270513CC"/>
    <w:rsid w:val="272C0707"/>
    <w:rsid w:val="27351CB2"/>
    <w:rsid w:val="273677D8"/>
    <w:rsid w:val="274A3283"/>
    <w:rsid w:val="275B723E"/>
    <w:rsid w:val="27A02EA3"/>
    <w:rsid w:val="27B8643F"/>
    <w:rsid w:val="27C272BD"/>
    <w:rsid w:val="27F21951"/>
    <w:rsid w:val="281F026C"/>
    <w:rsid w:val="284101E2"/>
    <w:rsid w:val="28956780"/>
    <w:rsid w:val="28C33388"/>
    <w:rsid w:val="28C8445F"/>
    <w:rsid w:val="28CD1A76"/>
    <w:rsid w:val="28D2255F"/>
    <w:rsid w:val="28E37B6F"/>
    <w:rsid w:val="29253660"/>
    <w:rsid w:val="29323FCF"/>
    <w:rsid w:val="29437F8A"/>
    <w:rsid w:val="2955079D"/>
    <w:rsid w:val="297F55A8"/>
    <w:rsid w:val="298011DE"/>
    <w:rsid w:val="29C966E1"/>
    <w:rsid w:val="29F319B0"/>
    <w:rsid w:val="29FE2F4B"/>
    <w:rsid w:val="2A336250"/>
    <w:rsid w:val="2A585CB7"/>
    <w:rsid w:val="2A6922B9"/>
    <w:rsid w:val="2A781EB5"/>
    <w:rsid w:val="2A846AAC"/>
    <w:rsid w:val="2AB23619"/>
    <w:rsid w:val="2ABC7FF4"/>
    <w:rsid w:val="2AE00186"/>
    <w:rsid w:val="2AE15CAC"/>
    <w:rsid w:val="2AEC6B2B"/>
    <w:rsid w:val="2B0938C9"/>
    <w:rsid w:val="2B5D17D7"/>
    <w:rsid w:val="2B603075"/>
    <w:rsid w:val="2BC67AFB"/>
    <w:rsid w:val="2BCB6B9C"/>
    <w:rsid w:val="2BD17ACF"/>
    <w:rsid w:val="2BF51A0F"/>
    <w:rsid w:val="2BF81500"/>
    <w:rsid w:val="2C0716F3"/>
    <w:rsid w:val="2C08790F"/>
    <w:rsid w:val="2C0E0D23"/>
    <w:rsid w:val="2C1B0D4A"/>
    <w:rsid w:val="2C4B6E7A"/>
    <w:rsid w:val="2C732934"/>
    <w:rsid w:val="2CBB0936"/>
    <w:rsid w:val="2CF021D7"/>
    <w:rsid w:val="2CFF066C"/>
    <w:rsid w:val="2D1759B5"/>
    <w:rsid w:val="2D4C1B03"/>
    <w:rsid w:val="2D687FBF"/>
    <w:rsid w:val="2D940DB4"/>
    <w:rsid w:val="2DE97352"/>
    <w:rsid w:val="2DF857E7"/>
    <w:rsid w:val="2E00469C"/>
    <w:rsid w:val="2E073C7C"/>
    <w:rsid w:val="2E0A551A"/>
    <w:rsid w:val="2E0C4DEE"/>
    <w:rsid w:val="2E1168A9"/>
    <w:rsid w:val="2E19750B"/>
    <w:rsid w:val="2E3A195C"/>
    <w:rsid w:val="2E6A3F6E"/>
    <w:rsid w:val="2E76670C"/>
    <w:rsid w:val="2EA36BCD"/>
    <w:rsid w:val="2EC27BA3"/>
    <w:rsid w:val="2EC851B9"/>
    <w:rsid w:val="2ED40002"/>
    <w:rsid w:val="2EE1338C"/>
    <w:rsid w:val="2F0106CB"/>
    <w:rsid w:val="2F097580"/>
    <w:rsid w:val="2F1228D8"/>
    <w:rsid w:val="2F193C67"/>
    <w:rsid w:val="2F5A7DDB"/>
    <w:rsid w:val="2F9037FD"/>
    <w:rsid w:val="2F972DDE"/>
    <w:rsid w:val="2FA774C5"/>
    <w:rsid w:val="2FB21D70"/>
    <w:rsid w:val="2FBD0A96"/>
    <w:rsid w:val="2FBE036A"/>
    <w:rsid w:val="300D2063"/>
    <w:rsid w:val="302A3C52"/>
    <w:rsid w:val="307D1FD3"/>
    <w:rsid w:val="30D37E45"/>
    <w:rsid w:val="30FA7AC8"/>
    <w:rsid w:val="30FF6C1B"/>
    <w:rsid w:val="31072342"/>
    <w:rsid w:val="31175F84"/>
    <w:rsid w:val="312E32CE"/>
    <w:rsid w:val="31432160"/>
    <w:rsid w:val="316B2774"/>
    <w:rsid w:val="318850D4"/>
    <w:rsid w:val="31CF4AB1"/>
    <w:rsid w:val="31D3456C"/>
    <w:rsid w:val="31E3055C"/>
    <w:rsid w:val="320C360F"/>
    <w:rsid w:val="32425283"/>
    <w:rsid w:val="3268644D"/>
    <w:rsid w:val="32AE31AE"/>
    <w:rsid w:val="33366407"/>
    <w:rsid w:val="33466FF4"/>
    <w:rsid w:val="33541711"/>
    <w:rsid w:val="3364747B"/>
    <w:rsid w:val="337771AE"/>
    <w:rsid w:val="341449FD"/>
    <w:rsid w:val="347656B7"/>
    <w:rsid w:val="34A915E9"/>
    <w:rsid w:val="34FC3E0F"/>
    <w:rsid w:val="351C625F"/>
    <w:rsid w:val="351F7AFD"/>
    <w:rsid w:val="35447564"/>
    <w:rsid w:val="355F7EFA"/>
    <w:rsid w:val="359C73A0"/>
    <w:rsid w:val="35A377B5"/>
    <w:rsid w:val="35B14478"/>
    <w:rsid w:val="35BB9A6D"/>
    <w:rsid w:val="35C97A69"/>
    <w:rsid w:val="35DC779C"/>
    <w:rsid w:val="35E0728C"/>
    <w:rsid w:val="35EF74CF"/>
    <w:rsid w:val="363870C8"/>
    <w:rsid w:val="369342FF"/>
    <w:rsid w:val="36C56482"/>
    <w:rsid w:val="375241BA"/>
    <w:rsid w:val="37541B0C"/>
    <w:rsid w:val="376E2676"/>
    <w:rsid w:val="37734130"/>
    <w:rsid w:val="37AB5678"/>
    <w:rsid w:val="37B502A5"/>
    <w:rsid w:val="383C2774"/>
    <w:rsid w:val="384E0F02"/>
    <w:rsid w:val="38543F62"/>
    <w:rsid w:val="386B4E07"/>
    <w:rsid w:val="386F48F8"/>
    <w:rsid w:val="38792DCD"/>
    <w:rsid w:val="38C72495"/>
    <w:rsid w:val="38EE1CC0"/>
    <w:rsid w:val="39113C01"/>
    <w:rsid w:val="394144E6"/>
    <w:rsid w:val="396B1563"/>
    <w:rsid w:val="39754190"/>
    <w:rsid w:val="39A21310"/>
    <w:rsid w:val="39A22AAB"/>
    <w:rsid w:val="39CE564E"/>
    <w:rsid w:val="3A127C30"/>
    <w:rsid w:val="3A233BEC"/>
    <w:rsid w:val="3A60099C"/>
    <w:rsid w:val="3A8754B5"/>
    <w:rsid w:val="3A9E3272"/>
    <w:rsid w:val="3AA50AA5"/>
    <w:rsid w:val="3AB02FA5"/>
    <w:rsid w:val="3ACD58BE"/>
    <w:rsid w:val="3AD52F83"/>
    <w:rsid w:val="3ADB44C6"/>
    <w:rsid w:val="3B2C4D22"/>
    <w:rsid w:val="3B3D6F2F"/>
    <w:rsid w:val="3B40257B"/>
    <w:rsid w:val="3B530501"/>
    <w:rsid w:val="3B702E61"/>
    <w:rsid w:val="3B732951"/>
    <w:rsid w:val="3BBA0BFE"/>
    <w:rsid w:val="3C0E2679"/>
    <w:rsid w:val="3C236125"/>
    <w:rsid w:val="3C2E6878"/>
    <w:rsid w:val="3C636521"/>
    <w:rsid w:val="3C7C75E3"/>
    <w:rsid w:val="3C8D359E"/>
    <w:rsid w:val="3CB8586D"/>
    <w:rsid w:val="3CBE5E4E"/>
    <w:rsid w:val="3CE216B7"/>
    <w:rsid w:val="3D0715A3"/>
    <w:rsid w:val="3D0C61A6"/>
    <w:rsid w:val="3D533155"/>
    <w:rsid w:val="3D801355"/>
    <w:rsid w:val="3D8A3F82"/>
    <w:rsid w:val="3DA70690"/>
    <w:rsid w:val="3DAC6409"/>
    <w:rsid w:val="3DD22D19"/>
    <w:rsid w:val="3E043D34"/>
    <w:rsid w:val="3E241CE0"/>
    <w:rsid w:val="3E285C74"/>
    <w:rsid w:val="3E5720B6"/>
    <w:rsid w:val="3EBE2135"/>
    <w:rsid w:val="3F081650"/>
    <w:rsid w:val="3F275F2C"/>
    <w:rsid w:val="3F395C5F"/>
    <w:rsid w:val="3F3C12AC"/>
    <w:rsid w:val="3F7B6278"/>
    <w:rsid w:val="3F982986"/>
    <w:rsid w:val="3FAC6431"/>
    <w:rsid w:val="3FB73D77"/>
    <w:rsid w:val="40112738"/>
    <w:rsid w:val="404E573A"/>
    <w:rsid w:val="40552625"/>
    <w:rsid w:val="405C1C05"/>
    <w:rsid w:val="407A02AE"/>
    <w:rsid w:val="40B27A77"/>
    <w:rsid w:val="40DA6FCE"/>
    <w:rsid w:val="40E83499"/>
    <w:rsid w:val="40F41E3E"/>
    <w:rsid w:val="4134048C"/>
    <w:rsid w:val="419929E5"/>
    <w:rsid w:val="41B25855"/>
    <w:rsid w:val="41CC2DBB"/>
    <w:rsid w:val="41E023C2"/>
    <w:rsid w:val="420C4005"/>
    <w:rsid w:val="423544BC"/>
    <w:rsid w:val="42772D26"/>
    <w:rsid w:val="427F1BDB"/>
    <w:rsid w:val="42AA2DEA"/>
    <w:rsid w:val="42B81EED"/>
    <w:rsid w:val="42CD2946"/>
    <w:rsid w:val="42F425C9"/>
    <w:rsid w:val="42FA74B4"/>
    <w:rsid w:val="430420E0"/>
    <w:rsid w:val="43234C5C"/>
    <w:rsid w:val="434C41B3"/>
    <w:rsid w:val="435968D0"/>
    <w:rsid w:val="438751EB"/>
    <w:rsid w:val="43AF029E"/>
    <w:rsid w:val="43B81849"/>
    <w:rsid w:val="43C24475"/>
    <w:rsid w:val="4413716C"/>
    <w:rsid w:val="444A6219"/>
    <w:rsid w:val="44705C7F"/>
    <w:rsid w:val="44CD30D2"/>
    <w:rsid w:val="44DE52DF"/>
    <w:rsid w:val="44EE129A"/>
    <w:rsid w:val="451A21EE"/>
    <w:rsid w:val="45212031"/>
    <w:rsid w:val="45336CAD"/>
    <w:rsid w:val="4574179F"/>
    <w:rsid w:val="45B760D2"/>
    <w:rsid w:val="46156ED1"/>
    <w:rsid w:val="46284338"/>
    <w:rsid w:val="46396545"/>
    <w:rsid w:val="4654512D"/>
    <w:rsid w:val="467D0B27"/>
    <w:rsid w:val="46C40504"/>
    <w:rsid w:val="473F5DDD"/>
    <w:rsid w:val="47555600"/>
    <w:rsid w:val="47A45C40"/>
    <w:rsid w:val="47C84024"/>
    <w:rsid w:val="47D76015"/>
    <w:rsid w:val="47D91D8D"/>
    <w:rsid w:val="482D3528"/>
    <w:rsid w:val="48CB08E7"/>
    <w:rsid w:val="493059DD"/>
    <w:rsid w:val="49453B20"/>
    <w:rsid w:val="495B7301"/>
    <w:rsid w:val="498653A3"/>
    <w:rsid w:val="49E21FCB"/>
    <w:rsid w:val="49F41101"/>
    <w:rsid w:val="4A3E412A"/>
    <w:rsid w:val="4A642911"/>
    <w:rsid w:val="4A797552"/>
    <w:rsid w:val="4A7F4E6E"/>
    <w:rsid w:val="4A851D59"/>
    <w:rsid w:val="4A9E74DA"/>
    <w:rsid w:val="4AA91EEB"/>
    <w:rsid w:val="4ADD7DE7"/>
    <w:rsid w:val="4B245A16"/>
    <w:rsid w:val="4B2C0426"/>
    <w:rsid w:val="4B511135"/>
    <w:rsid w:val="4B614574"/>
    <w:rsid w:val="4BC2626C"/>
    <w:rsid w:val="4BCF5981"/>
    <w:rsid w:val="4C2832E3"/>
    <w:rsid w:val="4C723C85"/>
    <w:rsid w:val="4CB22BAD"/>
    <w:rsid w:val="4CBE1552"/>
    <w:rsid w:val="4D471547"/>
    <w:rsid w:val="4D7B3CE5"/>
    <w:rsid w:val="4D9D79DA"/>
    <w:rsid w:val="4DA16EA9"/>
    <w:rsid w:val="4DC16CEF"/>
    <w:rsid w:val="4DC4528E"/>
    <w:rsid w:val="4DD21759"/>
    <w:rsid w:val="4DEC2A42"/>
    <w:rsid w:val="4E067654"/>
    <w:rsid w:val="4E14099E"/>
    <w:rsid w:val="4E255D2C"/>
    <w:rsid w:val="4E4837C9"/>
    <w:rsid w:val="4E516B22"/>
    <w:rsid w:val="4E5B34FC"/>
    <w:rsid w:val="4E791B9F"/>
    <w:rsid w:val="4E8D38D2"/>
    <w:rsid w:val="4EEC684A"/>
    <w:rsid w:val="4F11005F"/>
    <w:rsid w:val="4F5368C9"/>
    <w:rsid w:val="4F85093B"/>
    <w:rsid w:val="4F9667B6"/>
    <w:rsid w:val="4FB8672C"/>
    <w:rsid w:val="4FC93329"/>
    <w:rsid w:val="4FE37C4D"/>
    <w:rsid w:val="5003209D"/>
    <w:rsid w:val="50502E09"/>
    <w:rsid w:val="508605D9"/>
    <w:rsid w:val="50DB75DA"/>
    <w:rsid w:val="50E7376D"/>
    <w:rsid w:val="50EA6DB9"/>
    <w:rsid w:val="510A120A"/>
    <w:rsid w:val="512247A5"/>
    <w:rsid w:val="51452242"/>
    <w:rsid w:val="51453FF0"/>
    <w:rsid w:val="517D7C2E"/>
    <w:rsid w:val="51D07D5D"/>
    <w:rsid w:val="51D27F79"/>
    <w:rsid w:val="51EB0E4A"/>
    <w:rsid w:val="52020133"/>
    <w:rsid w:val="52516DC7"/>
    <w:rsid w:val="526112FD"/>
    <w:rsid w:val="528E743C"/>
    <w:rsid w:val="52A631B4"/>
    <w:rsid w:val="52BC623B"/>
    <w:rsid w:val="52CD24EF"/>
    <w:rsid w:val="52D229F0"/>
    <w:rsid w:val="53163E96"/>
    <w:rsid w:val="537D5CC3"/>
    <w:rsid w:val="539D7EEE"/>
    <w:rsid w:val="53A70AFD"/>
    <w:rsid w:val="53AF4A8D"/>
    <w:rsid w:val="53C102A5"/>
    <w:rsid w:val="541C54DC"/>
    <w:rsid w:val="542C1497"/>
    <w:rsid w:val="54332825"/>
    <w:rsid w:val="54361AF3"/>
    <w:rsid w:val="54507DE4"/>
    <w:rsid w:val="546A04F9"/>
    <w:rsid w:val="54A24524"/>
    <w:rsid w:val="54B41BB8"/>
    <w:rsid w:val="54C34369"/>
    <w:rsid w:val="54CC5154"/>
    <w:rsid w:val="551B5793"/>
    <w:rsid w:val="551C33CB"/>
    <w:rsid w:val="554D7917"/>
    <w:rsid w:val="556709D9"/>
    <w:rsid w:val="55794BB0"/>
    <w:rsid w:val="559612BE"/>
    <w:rsid w:val="564E7DEA"/>
    <w:rsid w:val="56625644"/>
    <w:rsid w:val="56794E67"/>
    <w:rsid w:val="56942683"/>
    <w:rsid w:val="56981066"/>
    <w:rsid w:val="569D70D0"/>
    <w:rsid w:val="56D06A51"/>
    <w:rsid w:val="56EB5639"/>
    <w:rsid w:val="571132F2"/>
    <w:rsid w:val="57160908"/>
    <w:rsid w:val="57925AB5"/>
    <w:rsid w:val="57EA3B43"/>
    <w:rsid w:val="582726A1"/>
    <w:rsid w:val="58382B00"/>
    <w:rsid w:val="58492617"/>
    <w:rsid w:val="58937D37"/>
    <w:rsid w:val="58A27F7A"/>
    <w:rsid w:val="58A61818"/>
    <w:rsid w:val="58B2640F"/>
    <w:rsid w:val="58BE3005"/>
    <w:rsid w:val="58D02D39"/>
    <w:rsid w:val="58E862D4"/>
    <w:rsid w:val="58F17F64"/>
    <w:rsid w:val="594D4389"/>
    <w:rsid w:val="59682F71"/>
    <w:rsid w:val="59941FB8"/>
    <w:rsid w:val="59B85CA7"/>
    <w:rsid w:val="59C77C98"/>
    <w:rsid w:val="59D73EB5"/>
    <w:rsid w:val="59DB3743"/>
    <w:rsid w:val="59E720E8"/>
    <w:rsid w:val="59F82547"/>
    <w:rsid w:val="5A276988"/>
    <w:rsid w:val="5A3E3CD2"/>
    <w:rsid w:val="5A44578C"/>
    <w:rsid w:val="5A6C4CE3"/>
    <w:rsid w:val="5A91647E"/>
    <w:rsid w:val="5A9B1124"/>
    <w:rsid w:val="5AB53F94"/>
    <w:rsid w:val="5B5E2783"/>
    <w:rsid w:val="5BE95DFD"/>
    <w:rsid w:val="5BF64864"/>
    <w:rsid w:val="5C142F3C"/>
    <w:rsid w:val="5C166CB5"/>
    <w:rsid w:val="5C6A6E4C"/>
    <w:rsid w:val="5C71213D"/>
    <w:rsid w:val="5C7F2AAC"/>
    <w:rsid w:val="5D1A27D4"/>
    <w:rsid w:val="5D1E0EA8"/>
    <w:rsid w:val="5D257DBD"/>
    <w:rsid w:val="5DAA1DAA"/>
    <w:rsid w:val="5DD706C5"/>
    <w:rsid w:val="5DE80B25"/>
    <w:rsid w:val="5E023994"/>
    <w:rsid w:val="5E4F2952"/>
    <w:rsid w:val="5E4F64AE"/>
    <w:rsid w:val="5E604B5F"/>
    <w:rsid w:val="5E766130"/>
    <w:rsid w:val="5F090D52"/>
    <w:rsid w:val="5F3C2ED6"/>
    <w:rsid w:val="5F6E6E08"/>
    <w:rsid w:val="5F753311"/>
    <w:rsid w:val="5FAD5B82"/>
    <w:rsid w:val="5FFD3DA3"/>
    <w:rsid w:val="608368E3"/>
    <w:rsid w:val="60885CA7"/>
    <w:rsid w:val="608975AF"/>
    <w:rsid w:val="60A52CFD"/>
    <w:rsid w:val="60B44CEE"/>
    <w:rsid w:val="60BB7E2A"/>
    <w:rsid w:val="60E27AAD"/>
    <w:rsid w:val="60F35816"/>
    <w:rsid w:val="611A0FF5"/>
    <w:rsid w:val="612C0D28"/>
    <w:rsid w:val="614D13CA"/>
    <w:rsid w:val="615F4C5A"/>
    <w:rsid w:val="61B85724"/>
    <w:rsid w:val="61B96A60"/>
    <w:rsid w:val="61BD1E87"/>
    <w:rsid w:val="61C62F2B"/>
    <w:rsid w:val="61DA69D6"/>
    <w:rsid w:val="621974FF"/>
    <w:rsid w:val="62210161"/>
    <w:rsid w:val="62366C0A"/>
    <w:rsid w:val="624D2468"/>
    <w:rsid w:val="624D71A8"/>
    <w:rsid w:val="62620EA5"/>
    <w:rsid w:val="626F2D2B"/>
    <w:rsid w:val="62775FD3"/>
    <w:rsid w:val="62BB6808"/>
    <w:rsid w:val="62F847FD"/>
    <w:rsid w:val="63253C81"/>
    <w:rsid w:val="638C5AAE"/>
    <w:rsid w:val="63B03E93"/>
    <w:rsid w:val="63BD3EBA"/>
    <w:rsid w:val="63CD67F3"/>
    <w:rsid w:val="642A77A1"/>
    <w:rsid w:val="643C74D4"/>
    <w:rsid w:val="646A047C"/>
    <w:rsid w:val="646A4041"/>
    <w:rsid w:val="64AC28AC"/>
    <w:rsid w:val="64B259E8"/>
    <w:rsid w:val="64C11A13"/>
    <w:rsid w:val="64D261EF"/>
    <w:rsid w:val="6508173F"/>
    <w:rsid w:val="650A5824"/>
    <w:rsid w:val="65183A9D"/>
    <w:rsid w:val="65270184"/>
    <w:rsid w:val="65622F6B"/>
    <w:rsid w:val="65B86602"/>
    <w:rsid w:val="65BD2897"/>
    <w:rsid w:val="65F94FCF"/>
    <w:rsid w:val="66383CCB"/>
    <w:rsid w:val="667473F9"/>
    <w:rsid w:val="669B4986"/>
    <w:rsid w:val="66C739CD"/>
    <w:rsid w:val="66D63C10"/>
    <w:rsid w:val="66FB5425"/>
    <w:rsid w:val="671309C0"/>
    <w:rsid w:val="67D6379C"/>
    <w:rsid w:val="67E170D9"/>
    <w:rsid w:val="682B7F8C"/>
    <w:rsid w:val="6833299C"/>
    <w:rsid w:val="688D02FE"/>
    <w:rsid w:val="689360D3"/>
    <w:rsid w:val="68A613C0"/>
    <w:rsid w:val="68A8338A"/>
    <w:rsid w:val="68CB0E27"/>
    <w:rsid w:val="68D57EC1"/>
    <w:rsid w:val="69006D22"/>
    <w:rsid w:val="6908207B"/>
    <w:rsid w:val="691014EC"/>
    <w:rsid w:val="695B48BA"/>
    <w:rsid w:val="69D72179"/>
    <w:rsid w:val="69E71C90"/>
    <w:rsid w:val="6A097608"/>
    <w:rsid w:val="6A696B49"/>
    <w:rsid w:val="6A7774B8"/>
    <w:rsid w:val="6A9E67F3"/>
    <w:rsid w:val="6ACA1BE4"/>
    <w:rsid w:val="6AD55F8D"/>
    <w:rsid w:val="6AFF300A"/>
    <w:rsid w:val="6B6A22FA"/>
    <w:rsid w:val="6B7E03D2"/>
    <w:rsid w:val="6B7F29BD"/>
    <w:rsid w:val="6B8C6F93"/>
    <w:rsid w:val="6BA75B7B"/>
    <w:rsid w:val="6BCF6E80"/>
    <w:rsid w:val="6C465394"/>
    <w:rsid w:val="6C6B4DFB"/>
    <w:rsid w:val="6C7D68DC"/>
    <w:rsid w:val="6C983412"/>
    <w:rsid w:val="6CCD33BF"/>
    <w:rsid w:val="6D035033"/>
    <w:rsid w:val="6D592EA5"/>
    <w:rsid w:val="6D5E04BB"/>
    <w:rsid w:val="6D7A2B92"/>
    <w:rsid w:val="6D9B34BE"/>
    <w:rsid w:val="6D9C1930"/>
    <w:rsid w:val="6DA560EA"/>
    <w:rsid w:val="6DBC3A77"/>
    <w:rsid w:val="6DC01176"/>
    <w:rsid w:val="6DC9627D"/>
    <w:rsid w:val="6DDD5884"/>
    <w:rsid w:val="6DF70384"/>
    <w:rsid w:val="6DFF06BD"/>
    <w:rsid w:val="6E105C5A"/>
    <w:rsid w:val="6E1119D2"/>
    <w:rsid w:val="6E162B44"/>
    <w:rsid w:val="6E31797E"/>
    <w:rsid w:val="6E7227BF"/>
    <w:rsid w:val="6E7F693B"/>
    <w:rsid w:val="6EFF2AC7"/>
    <w:rsid w:val="6F305E87"/>
    <w:rsid w:val="6F616041"/>
    <w:rsid w:val="6F8F7052"/>
    <w:rsid w:val="6F9D0FC8"/>
    <w:rsid w:val="6FA523D2"/>
    <w:rsid w:val="6FB6638D"/>
    <w:rsid w:val="6FFEAB9D"/>
    <w:rsid w:val="70111815"/>
    <w:rsid w:val="701632CF"/>
    <w:rsid w:val="701E3F32"/>
    <w:rsid w:val="703F45D4"/>
    <w:rsid w:val="7056191E"/>
    <w:rsid w:val="706E4EB9"/>
    <w:rsid w:val="70A95EF1"/>
    <w:rsid w:val="70DA254F"/>
    <w:rsid w:val="71021CE9"/>
    <w:rsid w:val="71771B4C"/>
    <w:rsid w:val="71816D87"/>
    <w:rsid w:val="7185070D"/>
    <w:rsid w:val="719B1CDE"/>
    <w:rsid w:val="71A36DE5"/>
    <w:rsid w:val="71B55DFB"/>
    <w:rsid w:val="71D7083C"/>
    <w:rsid w:val="72031631"/>
    <w:rsid w:val="722E07ED"/>
    <w:rsid w:val="726B30F6"/>
    <w:rsid w:val="728D004D"/>
    <w:rsid w:val="72D74F98"/>
    <w:rsid w:val="72F21DD2"/>
    <w:rsid w:val="72FD42D3"/>
    <w:rsid w:val="73353A6C"/>
    <w:rsid w:val="73487C44"/>
    <w:rsid w:val="734B14E2"/>
    <w:rsid w:val="73981633"/>
    <w:rsid w:val="73A40BF2"/>
    <w:rsid w:val="73A86934"/>
    <w:rsid w:val="73B40E35"/>
    <w:rsid w:val="73DE5EB2"/>
    <w:rsid w:val="73EB6821"/>
    <w:rsid w:val="73FB6A64"/>
    <w:rsid w:val="74100036"/>
    <w:rsid w:val="74130252"/>
    <w:rsid w:val="741B2C62"/>
    <w:rsid w:val="742331A1"/>
    <w:rsid w:val="74620891"/>
    <w:rsid w:val="74795BDB"/>
    <w:rsid w:val="74A215D5"/>
    <w:rsid w:val="74E474F8"/>
    <w:rsid w:val="751A73BE"/>
    <w:rsid w:val="751B4EE4"/>
    <w:rsid w:val="752B15CB"/>
    <w:rsid w:val="757840E4"/>
    <w:rsid w:val="757F1917"/>
    <w:rsid w:val="759A4A78"/>
    <w:rsid w:val="759D270C"/>
    <w:rsid w:val="75F701BD"/>
    <w:rsid w:val="763C15B6"/>
    <w:rsid w:val="764370C4"/>
    <w:rsid w:val="76532945"/>
    <w:rsid w:val="76BFA660"/>
    <w:rsid w:val="76CA6BC2"/>
    <w:rsid w:val="76CC293A"/>
    <w:rsid w:val="76CF4E08"/>
    <w:rsid w:val="770025E3"/>
    <w:rsid w:val="77003E75"/>
    <w:rsid w:val="77530965"/>
    <w:rsid w:val="77672662"/>
    <w:rsid w:val="776C706F"/>
    <w:rsid w:val="77AE0291"/>
    <w:rsid w:val="77CE623E"/>
    <w:rsid w:val="77E67A2B"/>
    <w:rsid w:val="781B3BF4"/>
    <w:rsid w:val="782C2230"/>
    <w:rsid w:val="783761C4"/>
    <w:rsid w:val="78482494"/>
    <w:rsid w:val="785E3A65"/>
    <w:rsid w:val="78866B18"/>
    <w:rsid w:val="78CD3302"/>
    <w:rsid w:val="796E1A86"/>
    <w:rsid w:val="79927E6B"/>
    <w:rsid w:val="799F4335"/>
    <w:rsid w:val="79B30702"/>
    <w:rsid w:val="79CB0C87"/>
    <w:rsid w:val="79F521A7"/>
    <w:rsid w:val="7A097A01"/>
    <w:rsid w:val="7A3727C0"/>
    <w:rsid w:val="7A37456E"/>
    <w:rsid w:val="7A4A42A1"/>
    <w:rsid w:val="7A6510DB"/>
    <w:rsid w:val="7AB931D5"/>
    <w:rsid w:val="7AD24297"/>
    <w:rsid w:val="7AD65B35"/>
    <w:rsid w:val="7AF75AAB"/>
    <w:rsid w:val="7B1A0118"/>
    <w:rsid w:val="7B397C89"/>
    <w:rsid w:val="7B5178B1"/>
    <w:rsid w:val="7B8E01BE"/>
    <w:rsid w:val="7B95154C"/>
    <w:rsid w:val="7BBFDD6D"/>
    <w:rsid w:val="7BCF9D97"/>
    <w:rsid w:val="7C1728A9"/>
    <w:rsid w:val="7C176405"/>
    <w:rsid w:val="7C321491"/>
    <w:rsid w:val="7C370855"/>
    <w:rsid w:val="7C653614"/>
    <w:rsid w:val="7C6B49A3"/>
    <w:rsid w:val="7CA83501"/>
    <w:rsid w:val="7CBC51FE"/>
    <w:rsid w:val="7CDB5685"/>
    <w:rsid w:val="7CE02C9B"/>
    <w:rsid w:val="7D3E3E65"/>
    <w:rsid w:val="7D942E38"/>
    <w:rsid w:val="7DC51E91"/>
    <w:rsid w:val="7DE247F1"/>
    <w:rsid w:val="7E1075B0"/>
    <w:rsid w:val="7E5E656D"/>
    <w:rsid w:val="7E7F72F0"/>
    <w:rsid w:val="7EA649AF"/>
    <w:rsid w:val="7EAA17B2"/>
    <w:rsid w:val="7EC860DC"/>
    <w:rsid w:val="7ED06D3F"/>
    <w:rsid w:val="7EE8052D"/>
    <w:rsid w:val="7F0D1D41"/>
    <w:rsid w:val="7F2F3A66"/>
    <w:rsid w:val="7F403EC5"/>
    <w:rsid w:val="7F5E434B"/>
    <w:rsid w:val="7F9ECA7D"/>
    <w:rsid w:val="7FA73F44"/>
    <w:rsid w:val="7FB421BD"/>
    <w:rsid w:val="7FB977D3"/>
    <w:rsid w:val="7FD30895"/>
    <w:rsid w:val="7FDB599C"/>
    <w:rsid w:val="7FFA0518"/>
    <w:rsid w:val="877D313E"/>
    <w:rsid w:val="8E5734A5"/>
    <w:rsid w:val="971FBE36"/>
    <w:rsid w:val="AAF4AAA4"/>
    <w:rsid w:val="B6ED9DD7"/>
    <w:rsid w:val="BA7F5C39"/>
    <w:rsid w:val="C3762AAB"/>
    <w:rsid w:val="DB7728CE"/>
    <w:rsid w:val="DDFF8661"/>
    <w:rsid w:val="E9AFD828"/>
    <w:rsid w:val="EBDF2715"/>
    <w:rsid w:val="F3E7B349"/>
    <w:rsid w:val="F6BDE3C2"/>
    <w:rsid w:val="F79D092E"/>
    <w:rsid w:val="F7E47B3D"/>
    <w:rsid w:val="FADFE9DE"/>
    <w:rsid w:val="FB77B346"/>
    <w:rsid w:val="FCFCF265"/>
    <w:rsid w:val="FDEC7C05"/>
    <w:rsid w:val="FFB70462"/>
    <w:rsid w:val="FFCB2D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34"/>
    <w:qFormat/>
    <w:uiPriority w:val="9"/>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link w:val="35"/>
    <w:qFormat/>
    <w:uiPriority w:val="0"/>
    <w:pPr>
      <w:ind w:firstLine="420"/>
    </w:pPr>
    <w:rPr>
      <w:rFonts w:ascii="宋体" w:hAnsi="宋体"/>
      <w:kern w:val="0"/>
      <w:sz w:val="20"/>
      <w:szCs w:val="20"/>
    </w:rPr>
  </w:style>
  <w:style w:type="paragraph" w:styleId="6">
    <w:name w:val="annotation text"/>
    <w:basedOn w:val="1"/>
    <w:link w:val="36"/>
    <w:unhideWhenUsed/>
    <w:qFormat/>
    <w:uiPriority w:val="99"/>
    <w:pPr>
      <w:jc w:val="left"/>
    </w:pPr>
  </w:style>
  <w:style w:type="paragraph" w:styleId="7">
    <w:name w:val="Body Text"/>
    <w:basedOn w:val="1"/>
    <w:next w:val="8"/>
    <w:link w:val="37"/>
    <w:qFormat/>
    <w:uiPriority w:val="0"/>
    <w:pPr>
      <w:spacing w:after="120"/>
    </w:pPr>
    <w:rPr>
      <w:szCs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link w:val="38"/>
    <w:qFormat/>
    <w:uiPriority w:val="0"/>
    <w:pPr>
      <w:spacing w:after="120"/>
      <w:ind w:left="420" w:leftChars="200"/>
    </w:pPr>
    <w:rPr>
      <w:szCs w:val="24"/>
    </w:rPr>
  </w:style>
  <w:style w:type="paragraph" w:styleId="12">
    <w:name w:val="Plain Text"/>
    <w:basedOn w:val="1"/>
    <w:link w:val="39"/>
    <w:qFormat/>
    <w:uiPriority w:val="0"/>
    <w:rPr>
      <w:rFonts w:ascii="宋体" w:hAnsi="Courier New"/>
      <w:kern w:val="0"/>
      <w:sz w:val="20"/>
      <w:szCs w:val="20"/>
    </w:rPr>
  </w:style>
  <w:style w:type="paragraph" w:styleId="13">
    <w:name w:val="Date"/>
    <w:basedOn w:val="1"/>
    <w:next w:val="1"/>
    <w:link w:val="40"/>
    <w:qFormat/>
    <w:uiPriority w:val="0"/>
    <w:pPr>
      <w:ind w:left="100" w:leftChars="2500"/>
    </w:pPr>
  </w:style>
  <w:style w:type="paragraph" w:styleId="14">
    <w:name w:val="Body Text Indent 2"/>
    <w:basedOn w:val="1"/>
    <w:link w:val="41"/>
    <w:qFormat/>
    <w:uiPriority w:val="0"/>
    <w:pPr>
      <w:spacing w:after="120" w:line="480" w:lineRule="auto"/>
      <w:ind w:left="420" w:leftChars="200"/>
    </w:pPr>
    <w:rPr>
      <w:szCs w:val="24"/>
    </w:rPr>
  </w:style>
  <w:style w:type="paragraph" w:styleId="15">
    <w:name w:val="Balloon Text"/>
    <w:basedOn w:val="1"/>
    <w:link w:val="42"/>
    <w:qFormat/>
    <w:uiPriority w:val="0"/>
    <w:rPr>
      <w:kern w:val="0"/>
      <w:sz w:val="18"/>
      <w:szCs w:val="18"/>
    </w:rPr>
  </w:style>
  <w:style w:type="paragraph" w:styleId="16">
    <w:name w:val="footer"/>
    <w:basedOn w:val="1"/>
    <w:link w:val="43"/>
    <w:unhideWhenUsed/>
    <w:qFormat/>
    <w:uiPriority w:val="0"/>
    <w:pPr>
      <w:tabs>
        <w:tab w:val="center" w:pos="4153"/>
        <w:tab w:val="right" w:pos="8306"/>
      </w:tabs>
      <w:snapToGrid w:val="0"/>
      <w:jc w:val="left"/>
    </w:pPr>
    <w:rPr>
      <w:sz w:val="18"/>
      <w:szCs w:val="18"/>
    </w:rPr>
  </w:style>
  <w:style w:type="paragraph" w:styleId="17">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Times New Roman" w:hAnsi="Times New Roman"/>
      <w:szCs w:val="24"/>
    </w:rPr>
  </w:style>
  <w:style w:type="paragraph" w:styleId="19">
    <w:name w:val="toc 2"/>
    <w:basedOn w:val="1"/>
    <w:next w:val="1"/>
    <w:qFormat/>
    <w:uiPriority w:val="39"/>
    <w:pPr>
      <w:ind w:left="420" w:leftChars="200"/>
    </w:pPr>
    <w:rPr>
      <w:rFonts w:ascii="Times New Roman" w:hAnsi="Times New Roman"/>
      <w:szCs w:val="20"/>
    </w:rPr>
  </w:style>
  <w:style w:type="paragraph" w:styleId="20">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99"/>
    <w:rPr>
      <w:rFonts w:ascii="Times New Roman" w:hAnsi="Times New Roman"/>
      <w:sz w:val="24"/>
      <w:szCs w:val="24"/>
    </w:rPr>
  </w:style>
  <w:style w:type="paragraph" w:styleId="22">
    <w:name w:val="annotation subject"/>
    <w:basedOn w:val="6"/>
    <w:next w:val="6"/>
    <w:link w:val="46"/>
    <w:unhideWhenUsed/>
    <w:qFormat/>
    <w:uiPriority w:val="99"/>
    <w:rPr>
      <w:b/>
      <w:bCs/>
    </w:rPr>
  </w:style>
  <w:style w:type="paragraph" w:styleId="23">
    <w:name w:val="Body Text First Indent"/>
    <w:basedOn w:val="7"/>
    <w:qFormat/>
    <w:uiPriority w:val="0"/>
    <w:pPr>
      <w:spacing w:after="120"/>
      <w:ind w:firstLine="420" w:firstLineChars="100"/>
      <w:jc w:val="both"/>
    </w:pPr>
    <w:rPr>
      <w:rFonts w:ascii="Times New Roman" w:hAnsi="Times New Roman" w:eastAsia="宋体"/>
      <w:kern w:val="2"/>
      <w:sz w:val="21"/>
      <w:szCs w:val="24"/>
    </w:rPr>
  </w:style>
  <w:style w:type="paragraph" w:styleId="24">
    <w:name w:val="Body Text First Indent 2"/>
    <w:basedOn w:val="11"/>
    <w:qFormat/>
    <w:uiPriority w:val="0"/>
    <w:pPr>
      <w:ind w:firstLine="420" w:firstLineChars="200"/>
    </w:p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800080"/>
      <w:u w:val="single"/>
    </w:rPr>
  </w:style>
  <w:style w:type="character" w:styleId="30">
    <w:name w:val="Emphasis"/>
    <w:basedOn w:val="26"/>
    <w:qFormat/>
    <w:uiPriority w:val="20"/>
    <w:rPr>
      <w:i/>
      <w:iCs/>
    </w:rPr>
  </w:style>
  <w:style w:type="character" w:styleId="31">
    <w:name w:val="Hyperlink"/>
    <w:basedOn w:val="26"/>
    <w:unhideWhenUsed/>
    <w:qFormat/>
    <w:uiPriority w:val="99"/>
    <w:rPr>
      <w:color w:val="0000FF"/>
      <w:u w:val="single"/>
    </w:rPr>
  </w:style>
  <w:style w:type="character" w:styleId="32">
    <w:name w:val="annotation reference"/>
    <w:basedOn w:val="26"/>
    <w:unhideWhenUsed/>
    <w:qFormat/>
    <w:uiPriority w:val="99"/>
    <w:rPr>
      <w:sz w:val="21"/>
      <w:szCs w:val="21"/>
    </w:rPr>
  </w:style>
  <w:style w:type="character" w:customStyle="1" w:styleId="33">
    <w:name w:val="标题 2 Char"/>
    <w:basedOn w:val="26"/>
    <w:link w:val="3"/>
    <w:qFormat/>
    <w:uiPriority w:val="0"/>
    <w:rPr>
      <w:rFonts w:ascii="Arial" w:hAnsi="Arial" w:eastAsia="黑体"/>
      <w:b/>
      <w:bCs/>
      <w:kern w:val="2"/>
      <w:sz w:val="30"/>
      <w:szCs w:val="32"/>
    </w:rPr>
  </w:style>
  <w:style w:type="character" w:customStyle="1" w:styleId="34">
    <w:name w:val="标题 3 Char"/>
    <w:basedOn w:val="26"/>
    <w:link w:val="4"/>
    <w:qFormat/>
    <w:uiPriority w:val="9"/>
    <w:rPr>
      <w:b/>
      <w:bCs/>
      <w:kern w:val="2"/>
      <w:sz w:val="32"/>
      <w:szCs w:val="32"/>
    </w:rPr>
  </w:style>
  <w:style w:type="character" w:customStyle="1" w:styleId="35">
    <w:name w:val="正文缩进 Char"/>
    <w:link w:val="5"/>
    <w:qFormat/>
    <w:uiPriority w:val="0"/>
    <w:rPr>
      <w:rFonts w:ascii="宋体" w:hAnsi="宋体"/>
    </w:rPr>
  </w:style>
  <w:style w:type="character" w:customStyle="1" w:styleId="36">
    <w:name w:val="批注文字 Char"/>
    <w:basedOn w:val="26"/>
    <w:link w:val="6"/>
    <w:qFormat/>
    <w:uiPriority w:val="99"/>
    <w:rPr>
      <w:kern w:val="2"/>
      <w:sz w:val="21"/>
      <w:szCs w:val="22"/>
    </w:rPr>
  </w:style>
  <w:style w:type="character" w:customStyle="1" w:styleId="37">
    <w:name w:val="正文文本 Char"/>
    <w:link w:val="7"/>
    <w:qFormat/>
    <w:uiPriority w:val="0"/>
    <w:rPr>
      <w:kern w:val="2"/>
      <w:sz w:val="21"/>
      <w:szCs w:val="24"/>
    </w:rPr>
  </w:style>
  <w:style w:type="character" w:customStyle="1" w:styleId="38">
    <w:name w:val="正文文本缩进 Char"/>
    <w:link w:val="11"/>
    <w:qFormat/>
    <w:uiPriority w:val="0"/>
    <w:rPr>
      <w:kern w:val="2"/>
      <w:sz w:val="21"/>
      <w:szCs w:val="24"/>
    </w:rPr>
  </w:style>
  <w:style w:type="character" w:customStyle="1" w:styleId="39">
    <w:name w:val="纯文本 Char"/>
    <w:link w:val="12"/>
    <w:qFormat/>
    <w:uiPriority w:val="0"/>
    <w:rPr>
      <w:rFonts w:ascii="宋体" w:hAnsi="Courier New"/>
    </w:rPr>
  </w:style>
  <w:style w:type="character" w:customStyle="1" w:styleId="40">
    <w:name w:val="日期 Char"/>
    <w:basedOn w:val="26"/>
    <w:link w:val="13"/>
    <w:qFormat/>
    <w:uiPriority w:val="0"/>
    <w:rPr>
      <w:kern w:val="2"/>
      <w:sz w:val="21"/>
      <w:szCs w:val="22"/>
    </w:rPr>
  </w:style>
  <w:style w:type="character" w:customStyle="1" w:styleId="41">
    <w:name w:val="正文文本缩进 2 Char"/>
    <w:link w:val="14"/>
    <w:qFormat/>
    <w:uiPriority w:val="0"/>
    <w:rPr>
      <w:kern w:val="2"/>
      <w:sz w:val="21"/>
      <w:szCs w:val="24"/>
    </w:rPr>
  </w:style>
  <w:style w:type="character" w:customStyle="1" w:styleId="42">
    <w:name w:val="批注框文本 Char"/>
    <w:link w:val="15"/>
    <w:qFormat/>
    <w:uiPriority w:val="0"/>
    <w:rPr>
      <w:sz w:val="18"/>
      <w:szCs w:val="18"/>
    </w:rPr>
  </w:style>
  <w:style w:type="character" w:customStyle="1" w:styleId="43">
    <w:name w:val="页脚 Char"/>
    <w:basedOn w:val="26"/>
    <w:link w:val="16"/>
    <w:qFormat/>
    <w:uiPriority w:val="0"/>
    <w:rPr>
      <w:sz w:val="18"/>
      <w:szCs w:val="18"/>
    </w:rPr>
  </w:style>
  <w:style w:type="character" w:customStyle="1" w:styleId="44">
    <w:name w:val="页眉 Char"/>
    <w:basedOn w:val="26"/>
    <w:link w:val="17"/>
    <w:qFormat/>
    <w:uiPriority w:val="0"/>
    <w:rPr>
      <w:sz w:val="18"/>
      <w:szCs w:val="18"/>
    </w:rPr>
  </w:style>
  <w:style w:type="character" w:customStyle="1" w:styleId="45">
    <w:name w:val="HTML 预设格式 Char"/>
    <w:basedOn w:val="26"/>
    <w:link w:val="20"/>
    <w:semiHidden/>
    <w:qFormat/>
    <w:uiPriority w:val="99"/>
    <w:rPr>
      <w:rFonts w:ascii="宋体" w:hAnsi="宋体" w:cs="宋体"/>
      <w:sz w:val="24"/>
      <w:szCs w:val="24"/>
    </w:rPr>
  </w:style>
  <w:style w:type="character" w:customStyle="1" w:styleId="46">
    <w:name w:val="批注主题 Char"/>
    <w:basedOn w:val="36"/>
    <w:link w:val="22"/>
    <w:qFormat/>
    <w:uiPriority w:val="99"/>
    <w:rPr>
      <w:b/>
      <w:bCs/>
    </w:rPr>
  </w:style>
  <w:style w:type="character" w:customStyle="1" w:styleId="47">
    <w:name w:val="批注主题 Char1"/>
    <w:basedOn w:val="48"/>
    <w:semiHidden/>
    <w:qFormat/>
    <w:uiPriority w:val="99"/>
    <w:rPr>
      <w:b/>
      <w:bCs/>
    </w:rPr>
  </w:style>
  <w:style w:type="character" w:customStyle="1" w:styleId="48">
    <w:name w:val="批注文字 Char1"/>
    <w:basedOn w:val="26"/>
    <w:semiHidden/>
    <w:qFormat/>
    <w:uiPriority w:val="99"/>
    <w:rPr>
      <w:kern w:val="2"/>
      <w:sz w:val="21"/>
      <w:szCs w:val="22"/>
    </w:rPr>
  </w:style>
  <w:style w:type="character" w:customStyle="1" w:styleId="49">
    <w:name w:val="sp_dash"/>
    <w:basedOn w:val="26"/>
    <w:qFormat/>
    <w:uiPriority w:val="0"/>
  </w:style>
  <w:style w:type="character" w:customStyle="1" w:styleId="50">
    <w:name w:val="正文文本缩进 2 Char1"/>
    <w:basedOn w:val="26"/>
    <w:qFormat/>
    <w:uiPriority w:val="99"/>
    <w:rPr>
      <w:kern w:val="2"/>
      <w:sz w:val="21"/>
      <w:szCs w:val="22"/>
    </w:rPr>
  </w:style>
  <w:style w:type="character" w:customStyle="1" w:styleId="51">
    <w:name w:val="prc_air"/>
    <w:basedOn w:val="26"/>
    <w:qFormat/>
    <w:uiPriority w:val="0"/>
  </w:style>
  <w:style w:type="character" w:customStyle="1" w:styleId="52">
    <w:name w:val="正文文本缩进 Char1"/>
    <w:basedOn w:val="26"/>
    <w:qFormat/>
    <w:uiPriority w:val="99"/>
    <w:rPr>
      <w:kern w:val="2"/>
      <w:sz w:val="21"/>
      <w:szCs w:val="22"/>
    </w:rPr>
  </w:style>
  <w:style w:type="character" w:customStyle="1" w:styleId="53">
    <w:name w:val="批注框文本 Char1"/>
    <w:basedOn w:val="26"/>
    <w:qFormat/>
    <w:uiPriority w:val="99"/>
    <w:rPr>
      <w:kern w:val="2"/>
      <w:sz w:val="18"/>
      <w:szCs w:val="18"/>
    </w:rPr>
  </w:style>
  <w:style w:type="character" w:customStyle="1" w:styleId="54">
    <w:name w:val="正文文本 Char1"/>
    <w:basedOn w:val="26"/>
    <w:qFormat/>
    <w:uiPriority w:val="99"/>
    <w:rPr>
      <w:kern w:val="2"/>
      <w:sz w:val="21"/>
      <w:szCs w:val="22"/>
    </w:rPr>
  </w:style>
  <w:style w:type="character" w:customStyle="1" w:styleId="55">
    <w:name w:val="纯文本 Char1"/>
    <w:basedOn w:val="26"/>
    <w:qFormat/>
    <w:uiPriority w:val="99"/>
    <w:rPr>
      <w:rFonts w:ascii="宋体" w:hAnsi="Courier New" w:cs="Courier New"/>
      <w:kern w:val="2"/>
      <w:sz w:val="21"/>
      <w:szCs w:val="21"/>
    </w:rPr>
  </w:style>
  <w:style w:type="character" w:customStyle="1" w:styleId="56">
    <w:name w:val=" Char Char5"/>
    <w:qFormat/>
    <w:uiPriority w:val="0"/>
    <w:rPr>
      <w:rFonts w:eastAsia="宋体"/>
      <w:kern w:val="2"/>
      <w:sz w:val="18"/>
      <w:szCs w:val="18"/>
      <w:lang w:val="en-US" w:eastAsia="zh-CN" w:bidi="ar-SA"/>
    </w:rPr>
  </w:style>
  <w:style w:type="character" w:customStyle="1" w:styleId="57">
    <w:name w:val="apple-converted-space"/>
    <w:basedOn w:val="26"/>
    <w:qFormat/>
    <w:uiPriority w:val="0"/>
  </w:style>
  <w:style w:type="paragraph" w:customStyle="1" w:styleId="58">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正文+宋体"/>
    <w:basedOn w:val="21"/>
    <w:qFormat/>
    <w:uiPriority w:val="0"/>
    <w:pPr>
      <w:widowControl/>
      <w:shd w:val="clear" w:color="auto" w:fill="FFFFFF"/>
      <w:ind w:firstLine="480" w:firstLineChars="200"/>
      <w:jc w:val="left"/>
    </w:pPr>
    <w:rPr>
      <w:rFonts w:ascii="宋体" w:hAnsi="宋体" w:cs="宋体"/>
    </w:rPr>
  </w:style>
  <w:style w:type="paragraph" w:customStyle="1" w:styleId="60">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_Style 54"/>
    <w:semiHidden/>
    <w:qFormat/>
    <w:uiPriority w:val="99"/>
    <w:rPr>
      <w:rFonts w:ascii="Calibri" w:hAnsi="Calibri" w:eastAsia="宋体" w:cs="Times New Roman"/>
      <w:kern w:val="2"/>
      <w:sz w:val="21"/>
      <w:szCs w:val="22"/>
      <w:lang w:val="en-US" w:eastAsia="zh-CN" w:bidi="ar-SA"/>
    </w:rPr>
  </w:style>
  <w:style w:type="paragraph" w:customStyle="1" w:styleId="62">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64">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默认段落字体 Char"/>
    <w:basedOn w:val="1"/>
    <w:qFormat/>
    <w:uiPriority w:val="0"/>
    <w:rPr>
      <w:rFonts w:ascii="Times New Roman" w:hAnsi="Times New Roman"/>
      <w:szCs w:val="24"/>
    </w:rPr>
  </w:style>
  <w:style w:type="paragraph" w:customStyle="1" w:styleId="6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7">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8">
    <w:name w:val="样式3"/>
    <w:basedOn w:val="12"/>
    <w:qFormat/>
    <w:uiPriority w:val="0"/>
    <w:pPr>
      <w:spacing w:line="0" w:lineRule="atLeast"/>
      <w:outlineLvl w:val="0"/>
    </w:pPr>
    <w:rPr>
      <w:sz w:val="28"/>
    </w:rPr>
  </w:style>
  <w:style w:type="paragraph" w:customStyle="1" w:styleId="69">
    <w:name w:val=" Char Char Char"/>
    <w:basedOn w:val="1"/>
    <w:qFormat/>
    <w:uiPriority w:val="0"/>
    <w:rPr>
      <w:rFonts w:ascii="Tahoma" w:hAnsi="Tahoma"/>
      <w:sz w:val="24"/>
      <w:szCs w:val="20"/>
    </w:rPr>
  </w:style>
  <w:style w:type="paragraph" w:customStyle="1" w:styleId="70">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 Char Char Char Char Char Char Char"/>
    <w:basedOn w:val="1"/>
    <w:qFormat/>
    <w:uiPriority w:val="0"/>
    <w:rPr>
      <w:rFonts w:ascii="Times New Roman" w:hAnsi="Times New Roman"/>
      <w:szCs w:val="24"/>
    </w:rPr>
  </w:style>
  <w:style w:type="paragraph" w:customStyle="1" w:styleId="72">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null3"/>
    <w:qFormat/>
    <w:uiPriority w:val="0"/>
    <w:rPr>
      <w:rFonts w:hint="eastAsia" w:ascii="Calibri" w:hAnsi="Calibri" w:eastAsia="宋体" w:cs="Times New Roman"/>
      <w:lang w:val="en-US" w:eastAsia="zh-CN" w:bidi="ar-SA"/>
    </w:rPr>
  </w:style>
  <w:style w:type="paragraph" w:customStyle="1" w:styleId="74">
    <w:name w:val="Fließtext"/>
    <w:basedOn w:val="1"/>
    <w:qFormat/>
    <w:uiPriority w:val="0"/>
    <w:pPr>
      <w:widowControl w:val="0"/>
      <w:overflowPunct w:val="0"/>
      <w:autoSpaceDE w:val="0"/>
      <w:autoSpaceDN w:val="0"/>
      <w:snapToGrid/>
      <w:spacing w:after="160" w:line="278" w:lineRule="auto"/>
      <w:jc w:val="both"/>
      <w:textAlignment w:val="baseline"/>
    </w:pPr>
    <w:rPr>
      <w:rFonts w:ascii="宋体" w:hAnsi="Calibri" w:eastAsia="宋体"/>
      <w:kern w:val="28"/>
      <w:sz w:val="24"/>
      <w:szCs w:val="20"/>
    </w:rPr>
  </w:style>
  <w:style w:type="character" w:customStyle="1" w:styleId="75">
    <w:name w:val="font11"/>
    <w:basedOn w:val="26"/>
    <w:qFormat/>
    <w:uiPriority w:val="0"/>
    <w:rPr>
      <w:rFonts w:hint="eastAsia" w:ascii="宋体" w:hAnsi="宋体" w:eastAsia="宋体" w:cs="宋体"/>
      <w:color w:val="000000"/>
      <w:sz w:val="20"/>
      <w:szCs w:val="20"/>
      <w:u w:val="none"/>
    </w:rPr>
  </w:style>
  <w:style w:type="paragraph" w:customStyle="1" w:styleId="76">
    <w:name w:val="_Style 17"/>
    <w:basedOn w:val="11"/>
    <w:next w:val="24"/>
    <w:unhideWhenUsed/>
    <w:qFormat/>
    <w:uiPriority w:val="99"/>
    <w:pPr>
      <w:widowControl w:val="0"/>
      <w:adjustRightInd/>
      <w:snapToGrid/>
      <w:spacing w:after="0" w:line="360" w:lineRule="auto"/>
      <w:ind w:left="0" w:leftChars="0" w:firstLine="525"/>
      <w:jc w:val="both"/>
    </w:pPr>
    <w:rPr>
      <w:rFonts w:ascii="Calibri" w:hAnsi="Calibri" w:eastAsia="宋体"/>
      <w:sz w:val="28"/>
      <w:szCs w:val="21"/>
    </w:rPr>
  </w:style>
  <w:style w:type="character" w:customStyle="1" w:styleId="77">
    <w:name w:val="NormalCharacter"/>
    <w:qFormat/>
    <w:uiPriority w:val="0"/>
    <w:rPr>
      <w:rFonts w:ascii="Calibri" w:hAnsi="Calibri" w:eastAsia="宋体" w:cs="Times New Roman"/>
      <w:kern w:val="2"/>
      <w:sz w:val="21"/>
      <w:szCs w:val="24"/>
      <w:lang w:val="en-US" w:eastAsia="zh-CN" w:bidi="ar-SA"/>
    </w:rPr>
  </w:style>
  <w:style w:type="paragraph" w:customStyle="1" w:styleId="78">
    <w:name w:val="tenderView_p_|data-v-b076d9ea"/>
    <w:basedOn w:val="1"/>
    <w:qFormat/>
    <w:uiPriority w:val="0"/>
  </w:style>
  <w:style w:type="table" w:customStyle="1" w:styleId="79">
    <w:name w:val="table_|data-v-b076d9ea"/>
    <w:basedOn w:val="25"/>
    <w:qFormat/>
    <w:uiPriority w:val="0"/>
  </w:style>
  <w:style w:type="paragraph" w:customStyle="1" w:styleId="80">
    <w:name w:val="any Paragraph"/>
    <w:basedOn w:val="1"/>
    <w:qFormat/>
    <w:uiPriority w:val="0"/>
  </w:style>
  <w:style w:type="table" w:customStyle="1" w:styleId="81">
    <w:name w:val="any Table"/>
    <w:basedOn w:val="25"/>
    <w:qFormat/>
    <w:uiPriority w:val="0"/>
  </w:style>
  <w:style w:type="character" w:customStyle="1" w:styleId="82">
    <w:name w:val="any"/>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98</Pages>
  <Words>6777</Words>
  <Characters>7935</Characters>
  <Lines>318</Lines>
  <Paragraphs>89</Paragraphs>
  <TotalTime>2</TotalTime>
  <ScaleCrop>false</ScaleCrop>
  <LinksUpToDate>false</LinksUpToDate>
  <CharactersWithSpaces>8206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2015-01-03T12:40:00Z</dcterms:created>
  <dc:creator>黄超群</dc:creator>
  <cp:lastModifiedBy>小胖妞</cp:lastModifiedBy>
  <dcterms:modified xsi:type="dcterms:W3CDTF">2025-07-02T06:52:02Z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2FEAAEA9243243EBBCF61D349807B6D5_13</vt:lpwstr>
  </property>
  <property fmtid="{D5CDD505-2E9C-101B-9397-08002B2CF9AE}" pid="4" name="KSOTemplateDocerSaveRecord">
    <vt:lpwstr>eyJoZGlkIjoiNDY5Y2UyNTEyZTJmZDVkOGRjYjRkZWE1NzIyMDA5MDciLCJ1c2VySWQiOiI4NDc2ODc3NDYifQ==</vt:lpwstr>
  </property>
</Properties>
</file>